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89" w:rsidRPr="00D00895" w:rsidRDefault="00F26589" w:rsidP="00660C1B">
      <w:pPr>
        <w:pStyle w:val="Heading1"/>
        <w:numPr>
          <w:ilvl w:val="0"/>
          <w:numId w:val="0"/>
        </w:numPr>
        <w:spacing w:before="0" w:line="240" w:lineRule="auto"/>
        <w:rPr>
          <w:rFonts w:ascii="Times New Roman" w:hAnsi="Times New Roman"/>
          <w:color w:val="auto"/>
          <w:u w:val="single"/>
        </w:rPr>
      </w:pPr>
      <w:bookmarkStart w:id="0" w:name="_Toc263196234"/>
      <w:bookmarkStart w:id="1" w:name="_GoBack"/>
      <w:bookmarkEnd w:id="1"/>
      <w:r w:rsidRPr="00D5339B">
        <w:rPr>
          <w:rFonts w:ascii="Times New Roman" w:hAnsi="Times New Roman"/>
          <w:color w:val="auto"/>
          <w:u w:val="single"/>
        </w:rPr>
        <w:t>AG</w:t>
      </w:r>
      <w:r w:rsidRPr="00D00895">
        <w:rPr>
          <w:rFonts w:ascii="Times New Roman" w:hAnsi="Times New Roman"/>
          <w:color w:val="auto"/>
          <w:u w:val="single"/>
        </w:rPr>
        <w:t>E ISSUES IN SECOND LANGU</w:t>
      </w:r>
      <w:r>
        <w:rPr>
          <w:rFonts w:ascii="Times New Roman" w:hAnsi="Times New Roman"/>
          <w:color w:val="auto"/>
          <w:u w:val="single"/>
        </w:rPr>
        <w:t>A</w:t>
      </w:r>
      <w:r w:rsidRPr="00D00895">
        <w:rPr>
          <w:rFonts w:ascii="Times New Roman" w:hAnsi="Times New Roman"/>
          <w:color w:val="auto"/>
          <w:u w:val="single"/>
        </w:rPr>
        <w:t>GE LEARNING:</w:t>
      </w:r>
    </w:p>
    <w:p w:rsidR="00F26589" w:rsidRPr="00D00895" w:rsidRDefault="00F26589" w:rsidP="00660C1B">
      <w:pPr>
        <w:pStyle w:val="Heading1"/>
        <w:numPr>
          <w:ilvl w:val="0"/>
          <w:numId w:val="0"/>
        </w:numPr>
        <w:spacing w:before="0" w:line="240" w:lineRule="auto"/>
        <w:rPr>
          <w:rFonts w:ascii="Times New Roman" w:hAnsi="Times New Roman"/>
          <w:color w:val="auto"/>
          <w:u w:val="single"/>
        </w:rPr>
      </w:pPr>
      <w:r w:rsidRPr="00D00895">
        <w:rPr>
          <w:rFonts w:ascii="Times New Roman" w:hAnsi="Times New Roman"/>
          <w:color w:val="auto"/>
          <w:u w:val="single"/>
        </w:rPr>
        <w:t>SELECTED REFERE</w:t>
      </w:r>
      <w:r w:rsidR="00660C1B">
        <w:rPr>
          <w:rFonts w:ascii="Times New Roman" w:hAnsi="Times New Roman"/>
          <w:color w:val="auto"/>
          <w:u w:val="single"/>
        </w:rPr>
        <w:t>N</w:t>
      </w:r>
      <w:r w:rsidRPr="00D00895">
        <w:rPr>
          <w:rFonts w:ascii="Times New Roman" w:hAnsi="Times New Roman"/>
          <w:color w:val="auto"/>
          <w:u w:val="single"/>
        </w:rPr>
        <w:t>CES</w:t>
      </w:r>
      <w:bookmarkEnd w:id="0"/>
      <w:r w:rsidRPr="00D00895">
        <w:rPr>
          <w:rFonts w:ascii="Times New Roman" w:hAnsi="Times New Roman"/>
          <w:color w:val="auto"/>
          <w:u w:val="single"/>
        </w:rPr>
        <w:t xml:space="preserve"> </w:t>
      </w:r>
    </w:p>
    <w:p w:rsidR="00F26589" w:rsidRPr="00660C1B" w:rsidRDefault="00F26589" w:rsidP="00660C1B">
      <w:pPr>
        <w:spacing w:after="0" w:line="240" w:lineRule="auto"/>
        <w:ind w:left="720" w:hanging="720"/>
        <w:jc w:val="center"/>
        <w:rPr>
          <w:b/>
        </w:rPr>
      </w:pPr>
      <w:r w:rsidRPr="00660C1B">
        <w:rPr>
          <w:b/>
        </w:rPr>
        <w:t xml:space="preserve">(last updated </w:t>
      </w:r>
      <w:r w:rsidR="00282043" w:rsidRPr="00660C1B">
        <w:rPr>
          <w:b/>
        </w:rPr>
        <w:t>1</w:t>
      </w:r>
      <w:r w:rsidRPr="00660C1B">
        <w:rPr>
          <w:b/>
        </w:rPr>
        <w:t xml:space="preserve">3 </w:t>
      </w:r>
      <w:r w:rsidR="00282043" w:rsidRPr="00660C1B">
        <w:rPr>
          <w:b/>
        </w:rPr>
        <w:t>August</w:t>
      </w:r>
      <w:r w:rsidRPr="00660C1B">
        <w:rPr>
          <w:b/>
        </w:rPr>
        <w:t xml:space="preserve"> 201</w:t>
      </w:r>
      <w:r w:rsidR="00282043" w:rsidRPr="00660C1B">
        <w:rPr>
          <w:b/>
        </w:rPr>
        <w:t>2</w:t>
      </w:r>
      <w:r w:rsidRPr="00660C1B">
        <w:rPr>
          <w:b/>
        </w:rPr>
        <w:t>)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 w:rsidRPr="00700CB7">
        <w:fldChar w:fldCharType="begin"/>
      </w:r>
      <w:r w:rsidRPr="00700CB7">
        <w:instrText xml:space="preserve"> ADDIN EN.REFLIST </w:instrText>
      </w:r>
      <w:r w:rsidRPr="00700CB7">
        <w:fldChar w:fldCharType="separate"/>
      </w:r>
    </w:p>
    <w:p w:rsidR="00F26589" w:rsidRPr="00835515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 w:rsidRPr="00835515">
        <w:rPr>
          <w:noProof/>
        </w:rPr>
        <w:t xml:space="preserve">Al-Thubaiti, K. (2007). </w:t>
      </w:r>
      <w:r w:rsidRPr="00835515">
        <w:rPr>
          <w:i/>
          <w:noProof/>
        </w:rPr>
        <w:t>Age effects on the ultimate attainment of proficient Arabic speakers of English.</w:t>
      </w:r>
      <w:r w:rsidRPr="00835515">
        <w:rPr>
          <w:noProof/>
        </w:rPr>
        <w:t xml:space="preserve"> Unpublished master's of research dissertation, Essex University, Colchester, UK.</w:t>
      </w:r>
    </w:p>
    <w:p w:rsidR="00F26589" w:rsidRPr="00835515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Pr="00835515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 w:rsidRPr="00835515">
        <w:rPr>
          <w:noProof/>
        </w:rPr>
        <w:t xml:space="preserve">Bialystok, E., &amp; Hakuta, K. (1999). Confounded age: Linguistic and cognitive factors in age differences for second language acquisition. In D. Birdsong (Ed.), </w:t>
      </w:r>
      <w:r w:rsidRPr="00835515">
        <w:rPr>
          <w:i/>
          <w:noProof/>
        </w:rPr>
        <w:t>Second language acquisition and the critical period hypothesis</w:t>
      </w:r>
      <w:r w:rsidRPr="00835515">
        <w:rPr>
          <w:noProof/>
        </w:rPr>
        <w:t xml:space="preserve"> (pp. 161-181). Mahwah, NJ: Lawrence Erlbaum.'</w:t>
      </w:r>
    </w:p>
    <w:p w:rsidR="00F26589" w:rsidRPr="00835515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Pr="00835515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 w:rsidRPr="00835515">
        <w:rPr>
          <w:noProof/>
        </w:rPr>
        <w:t xml:space="preserve">Bialystok, E., &amp; Miller, B. (1999). The problem of age in second-language acquisition: Influences from language, structure, and task. </w:t>
      </w:r>
      <w:r w:rsidRPr="00835515">
        <w:rPr>
          <w:i/>
          <w:noProof/>
        </w:rPr>
        <w:t>Bilingualism: Language and Cognition, 2</w:t>
      </w:r>
      <w:r w:rsidRPr="00835515">
        <w:rPr>
          <w:noProof/>
        </w:rPr>
        <w:t>(2), 127-145.</w:t>
      </w:r>
    </w:p>
    <w:p w:rsidR="00F26589" w:rsidRPr="00835515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 w:rsidRPr="00A80177">
        <w:rPr>
          <w:noProof/>
        </w:rPr>
        <w:t xml:space="preserve">Birdsong, D. (1992). Ultimate attainment in second language acquisition. </w:t>
      </w:r>
      <w:r w:rsidRPr="00A80177">
        <w:rPr>
          <w:i/>
          <w:noProof/>
        </w:rPr>
        <w:t>Language, 68</w:t>
      </w:r>
      <w:r w:rsidRPr="00A80177">
        <w:rPr>
          <w:noProof/>
        </w:rPr>
        <w:t>(4), 706-755.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Birdsong, D. (2005). Interpreting age effects in second language acquisition. In J. F. Kroll &amp; A. M. B. de Groot (Eds.), </w:t>
      </w:r>
      <w:r w:rsidRPr="009B22B9">
        <w:rPr>
          <w:i/>
          <w:noProof/>
        </w:rPr>
        <w:t>Handbook of bilingualism: Psycholinguistic approaches</w:t>
      </w:r>
      <w:r>
        <w:rPr>
          <w:noProof/>
        </w:rPr>
        <w:t xml:space="preserve"> (pp. 109–127). New York: Oxford University Press.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Birdsong, D. (2009). Age and the end state of second language acquisition. In W. Ritchie &amp; T. Bhatia (Eds.), </w:t>
      </w:r>
      <w:r w:rsidRPr="009B22B9">
        <w:rPr>
          <w:i/>
          <w:noProof/>
        </w:rPr>
        <w:t>The new handbook of second langugae acquisition</w:t>
      </w:r>
      <w:r>
        <w:rPr>
          <w:noProof/>
        </w:rPr>
        <w:t xml:space="preserve"> (pp. 401-424). Bingley: Emerlad Group.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Birdsong, D., &amp; Molis, M. (2001). On the evidence for maturational constraints in second-language acquisition. </w:t>
      </w:r>
      <w:r w:rsidRPr="009B22B9">
        <w:rPr>
          <w:i/>
          <w:noProof/>
        </w:rPr>
        <w:t>Journal of Memory and Language, 44</w:t>
      </w:r>
      <w:r>
        <w:rPr>
          <w:noProof/>
        </w:rPr>
        <w:t>(2), 235-249.</w:t>
      </w:r>
    </w:p>
    <w:p w:rsidR="00F26589" w:rsidRDefault="00F26589" w:rsidP="00D874C4">
      <w:pPr>
        <w:spacing w:line="240" w:lineRule="auto"/>
        <w:ind w:left="720" w:hanging="720"/>
      </w:pPr>
    </w:p>
    <w:p w:rsidR="00F26589" w:rsidRPr="00D874C4" w:rsidRDefault="00F26589" w:rsidP="00D874C4">
      <w:pPr>
        <w:spacing w:line="240" w:lineRule="auto"/>
        <w:ind w:left="720" w:hanging="720"/>
      </w:pPr>
      <w:r w:rsidRPr="00D874C4">
        <w:t>Brown, C. (1985b).  Requests for specific language input: Differences between older and younger adult language learners.  In S. Gass &amp; C. Madden (Eds.),</w:t>
      </w:r>
      <w:r w:rsidRPr="00743443">
        <w:rPr>
          <w:i/>
        </w:rPr>
        <w:t xml:space="preserve"> Input in second language acquisition</w:t>
      </w:r>
      <w:r w:rsidRPr="00D874C4">
        <w:t xml:space="preserve"> (pp. 272-284).  Rowley: Newbury House.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Cenoz, J. (2003). The influence of age on the acquisition of English: General proficiency, attitudes and code-mixing. In M. P. Garcı́a Mayo &amp; M. L. Garcı́a Lecumberri (Eds.), </w:t>
      </w:r>
      <w:r w:rsidRPr="009B22B9">
        <w:rPr>
          <w:i/>
          <w:noProof/>
        </w:rPr>
        <w:t>Age and the acquisition of English as a foreign language</w:t>
      </w:r>
      <w:r>
        <w:rPr>
          <w:noProof/>
        </w:rPr>
        <w:t xml:space="preserve"> (pp. 77-93). Clevedon: Multilingual Matters Ltd.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Clahsen, H., &amp; Muysken, P. (1986). The availability of universal grammar to adult and child learners: A study of the acquisition of German word order. </w:t>
      </w:r>
      <w:r w:rsidRPr="009B22B9">
        <w:rPr>
          <w:i/>
          <w:noProof/>
        </w:rPr>
        <w:t>Second Language Research, 2</w:t>
      </w:r>
      <w:r>
        <w:rPr>
          <w:noProof/>
        </w:rPr>
        <w:t>(2), 93-119.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DeKeyser, R. (2000). The robustness of critical period effects in second language acquisition. </w:t>
      </w:r>
      <w:r w:rsidRPr="009B22B9">
        <w:rPr>
          <w:i/>
          <w:noProof/>
        </w:rPr>
        <w:t>Studies in Second Language Acquisition, 22</w:t>
      </w:r>
      <w:r>
        <w:rPr>
          <w:noProof/>
        </w:rPr>
        <w:t>(4), 499-533.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DeKeyser, R., &amp; Larson-Hall, J. (2005). What does the critical period really mean? In J. F. Kroll &amp; A. M. B. de Groot (Eds.), </w:t>
      </w:r>
      <w:r w:rsidRPr="009B22B9">
        <w:rPr>
          <w:i/>
          <w:noProof/>
        </w:rPr>
        <w:t>Handbook of bilingualism: Psycholinguistic approaches</w:t>
      </w:r>
      <w:r>
        <w:rPr>
          <w:noProof/>
        </w:rPr>
        <w:t xml:space="preserve"> (pp. 88-108). Oxford: Oxford University Press.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Eubank, L., &amp; Gregg, K. (1999). Critical periods and (second) language acquisition: Divide et impera. In D. Birdsong (Ed.), </w:t>
      </w:r>
      <w:r w:rsidRPr="009B22B9">
        <w:rPr>
          <w:i/>
          <w:noProof/>
        </w:rPr>
        <w:t>Second language acquisition and the critical period hypothesis</w:t>
      </w:r>
      <w:r>
        <w:rPr>
          <w:noProof/>
        </w:rPr>
        <w:t xml:space="preserve"> (pp. 65–99). Mahwah, NJ: Lawrence Erlbaum.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Flege, J., Yeni-Komshian, G., &amp; Liu, S. (1999). Age constraints on second-language acquisition. </w:t>
      </w:r>
      <w:r w:rsidRPr="009B22B9">
        <w:rPr>
          <w:i/>
          <w:noProof/>
        </w:rPr>
        <w:t>Journal of Memory and Language, 41</w:t>
      </w:r>
      <w:r>
        <w:rPr>
          <w:noProof/>
        </w:rPr>
        <w:t>(1), 78-104.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  <w:lang w:val="en-US"/>
        </w:rPr>
      </w:pPr>
    </w:p>
    <w:p w:rsidR="00F26589" w:rsidRPr="00020AEB" w:rsidRDefault="00F26589" w:rsidP="00EA0F31">
      <w:pPr>
        <w:spacing w:line="240" w:lineRule="auto"/>
        <w:ind w:left="720" w:hanging="720"/>
      </w:pPr>
      <w:r>
        <w:rPr>
          <w:lang w:val="en-US"/>
        </w:rPr>
        <w:t>Galda, D.  (2009). "My words is big problem": The life and learning experiences of three elderly Eastern European refugees studying ESL at a community college. In K. M. Bailey</w:t>
      </w:r>
      <w:r w:rsidRPr="00853EA1">
        <w:rPr>
          <w:lang w:val="en-US"/>
        </w:rPr>
        <w:t xml:space="preserve"> &amp; </w:t>
      </w:r>
      <w:r>
        <w:rPr>
          <w:lang w:val="en-US"/>
        </w:rPr>
        <w:t xml:space="preserve">M. G. </w:t>
      </w:r>
      <w:r w:rsidRPr="00853EA1">
        <w:rPr>
          <w:lang w:val="en-US"/>
        </w:rPr>
        <w:t>Santos</w:t>
      </w:r>
      <w:r>
        <w:rPr>
          <w:lang w:val="en-US"/>
        </w:rPr>
        <w:t xml:space="preserve">, </w:t>
      </w:r>
      <w:r w:rsidRPr="00853EA1">
        <w:rPr>
          <w:lang w:val="en-US"/>
        </w:rPr>
        <w:t xml:space="preserve">(Eds.). </w:t>
      </w:r>
      <w:r>
        <w:t xml:space="preserve">(2009). </w:t>
      </w:r>
      <w:r>
        <w:rPr>
          <w:i/>
        </w:rPr>
        <w:t>Research on English as a second language in U.S. community colleges: People, programs and potential</w:t>
      </w:r>
      <w:r>
        <w:t>. (pp. 12-141). Ann Arbor: University of Michigan Press.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 w:rsidRPr="00D5339B">
        <w:rPr>
          <w:noProof/>
          <w:lang w:val="en-US"/>
        </w:rPr>
        <w:t xml:space="preserve">García Lecumberri, M. L., &amp; Gallardo, F. (2003). </w:t>
      </w:r>
      <w:r>
        <w:rPr>
          <w:noProof/>
        </w:rPr>
        <w:t xml:space="preserve">English FL sounds in school learners of different ages. In M. P. García Mayo &amp; M. L. García Lecumberri (Eds.), </w:t>
      </w:r>
      <w:r w:rsidRPr="009B22B9">
        <w:rPr>
          <w:i/>
          <w:noProof/>
        </w:rPr>
        <w:t>Age and the acquisition of English as a foreign language</w:t>
      </w:r>
      <w:r>
        <w:rPr>
          <w:noProof/>
        </w:rPr>
        <w:t xml:space="preserve"> (pp. 115–135). Clevedon: Multilingual Matters Ltd.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Garcı́a Mayo, M. P. (2003). Age, length of exposure and grammaticality judgements in the acquisition of English as a foreign language. In M. P. Garcı́a Mayo &amp; M. L. Garcı́a Lecumberri (Eds.), </w:t>
      </w:r>
      <w:r w:rsidRPr="009B22B9">
        <w:rPr>
          <w:i/>
          <w:noProof/>
        </w:rPr>
        <w:t>Age and the acquisition of English as a foreign language</w:t>
      </w:r>
      <w:r>
        <w:rPr>
          <w:noProof/>
        </w:rPr>
        <w:t xml:space="preserve"> (pp. 94-114). Clevedon: Multilingual Matters Ltd.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Pr="00472974" w:rsidRDefault="00F26589" w:rsidP="00472974">
      <w:pPr>
        <w:spacing w:after="0" w:line="240" w:lineRule="auto"/>
        <w:ind w:left="720" w:hanging="720"/>
        <w:jc w:val="both"/>
        <w:rPr>
          <w:noProof/>
          <w:lang w:val="en-US"/>
        </w:rPr>
      </w:pPr>
      <w:r w:rsidRPr="00D5339B">
        <w:rPr>
          <w:noProof/>
          <w:lang w:val="en-US"/>
        </w:rPr>
        <w:t xml:space="preserve">Garcı́a Mayo, M. P., &amp; Garcı́a Lecumberri, M. L. (Eds.). </w:t>
      </w:r>
      <w:r>
        <w:rPr>
          <w:noProof/>
        </w:rPr>
        <w:t xml:space="preserve">(2003). </w:t>
      </w:r>
      <w:r w:rsidRPr="009B22B9">
        <w:rPr>
          <w:i/>
          <w:noProof/>
        </w:rPr>
        <w:t>Age and the acquisition of English as a foreign language</w:t>
      </w:r>
      <w:r>
        <w:rPr>
          <w:noProof/>
        </w:rPr>
        <w:t xml:space="preserve">. </w:t>
      </w:r>
      <w:r w:rsidRPr="00472974">
        <w:rPr>
          <w:noProof/>
          <w:lang w:val="en-US"/>
        </w:rPr>
        <w:t>Clevedon: Multilingual Matters Ltd.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  <w:highlight w:val="magenta"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Johnson, J. S., &amp; Newport, E. L. (1989). Critical period effects in second language learning: The influence of maturational state on the acquisition of English as a second language. </w:t>
      </w:r>
      <w:r w:rsidRPr="009B22B9">
        <w:rPr>
          <w:i/>
          <w:noProof/>
        </w:rPr>
        <w:t>Cognitive Psychology, 21</w:t>
      </w:r>
      <w:r>
        <w:rPr>
          <w:noProof/>
        </w:rPr>
        <w:t>(1), 60-99.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Johnson, J. S., &amp; Newport, E. L. (1991). Critical period effects on universal properties of language: The status of subjacency in the acquisition of a second language. </w:t>
      </w:r>
      <w:r w:rsidRPr="009B22B9">
        <w:rPr>
          <w:i/>
          <w:noProof/>
        </w:rPr>
        <w:t>Cognition, 39</w:t>
      </w:r>
      <w:r>
        <w:rPr>
          <w:noProof/>
        </w:rPr>
        <w:t>(3), 215-258.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Larson-Hall, J. (2008). Weighing the benefits of studying a foreign language at a younger starting age in a minimal input situation. </w:t>
      </w:r>
      <w:r w:rsidRPr="009B22B9">
        <w:rPr>
          <w:i/>
          <w:noProof/>
        </w:rPr>
        <w:t>Second Language Research, 24</w:t>
      </w:r>
      <w:r>
        <w:rPr>
          <w:noProof/>
        </w:rPr>
        <w:t>(1), 1-35.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Lasagabaster, D., &amp; Doiz, A. (2003). Maturational constraints on foreign-language written production. In M. P. Garcı́a Mayo &amp; M. L. Garcı́a Lecumberri (Eds.), </w:t>
      </w:r>
      <w:r w:rsidRPr="009B22B9">
        <w:rPr>
          <w:i/>
          <w:noProof/>
        </w:rPr>
        <w:t>Age and the acquisition of English as a foreign language</w:t>
      </w:r>
      <w:r>
        <w:rPr>
          <w:noProof/>
        </w:rPr>
        <w:t xml:space="preserve"> (pp. 136–160). Clevedon: Multilingual Matters Ltd.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lastRenderedPageBreak/>
        <w:t xml:space="preserve">Long, M. (2005). Problems with supposed counter-evidence to the critical period hypothesis. </w:t>
      </w:r>
      <w:r w:rsidRPr="009B22B9">
        <w:rPr>
          <w:i/>
          <w:noProof/>
        </w:rPr>
        <w:t>International Review of Applied Linguistics in Language Teaching, 43</w:t>
      </w:r>
      <w:r>
        <w:rPr>
          <w:noProof/>
        </w:rPr>
        <w:t>(4), 287-317.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Marinova-Todd, S., Marshall, D., &amp; Snow, C. (2000). Three misconceptions about age and L2 learning. </w:t>
      </w:r>
      <w:r w:rsidRPr="009B22B9">
        <w:rPr>
          <w:i/>
          <w:noProof/>
        </w:rPr>
        <w:t>TESOL Quarterly, 34</w:t>
      </w:r>
      <w:r>
        <w:rPr>
          <w:noProof/>
        </w:rPr>
        <w:t>(1), 9-34.</w:t>
      </w:r>
    </w:p>
    <w:p w:rsidR="00F26589" w:rsidRPr="002E5F2E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 w:rsidRPr="002E5F2E">
        <w:rPr>
          <w:noProof/>
        </w:rPr>
        <w:t xml:space="preserve">Montrul, S., Foote, R., &amp; Perpiñán, S. (2008). Gender agreement in adult second language learners and Spanish heritage speakers: The effects of age and context of acquisition. </w:t>
      </w:r>
      <w:r w:rsidRPr="002E5F2E">
        <w:rPr>
          <w:i/>
          <w:noProof/>
        </w:rPr>
        <w:t>Language Learning, 58</w:t>
      </w:r>
      <w:r w:rsidRPr="002E5F2E">
        <w:rPr>
          <w:noProof/>
        </w:rPr>
        <w:t>(3), 503-553.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Muñoz, C. (2003). Variation in oral skills development and age of onset. In M. P. Garcı́a Mayo &amp; M. L. Garcı́a Lecumberri (Eds.), </w:t>
      </w:r>
      <w:r w:rsidRPr="009B22B9">
        <w:rPr>
          <w:i/>
          <w:noProof/>
        </w:rPr>
        <w:t>Age and the acquisition of English as a foreign language</w:t>
      </w:r>
      <w:r>
        <w:rPr>
          <w:noProof/>
        </w:rPr>
        <w:t xml:space="preserve"> (pp. 161-181). Clevedon: Multilingual Matters Ltd.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Muñoz, C. (2006). The effects of age on foreign language learning: The BAF project. In C. Muñoz (Ed.), </w:t>
      </w:r>
      <w:r w:rsidRPr="009B22B9">
        <w:rPr>
          <w:i/>
          <w:noProof/>
        </w:rPr>
        <w:t>Age and the rate of foreign language learning</w:t>
      </w:r>
      <w:r>
        <w:rPr>
          <w:noProof/>
        </w:rPr>
        <w:t xml:space="preserve"> (pp. 1-40). Clevedon: Multilingual Matters Ltd.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Muñoz, C. (Ed.). (2006). </w:t>
      </w:r>
      <w:r w:rsidRPr="009B22B9">
        <w:rPr>
          <w:i/>
          <w:noProof/>
        </w:rPr>
        <w:t>Age and the rate of foreign language learning</w:t>
      </w:r>
      <w:r>
        <w:rPr>
          <w:noProof/>
        </w:rPr>
        <w:t>. Clevedon: Multilingual Matters Ltd.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Nikolov, M. (2009). The age factor in context. In M. Nikolov (Ed.), </w:t>
      </w:r>
      <w:r w:rsidRPr="009B22B9">
        <w:rPr>
          <w:i/>
          <w:noProof/>
        </w:rPr>
        <w:t>The age factor and early language learning</w:t>
      </w:r>
      <w:r>
        <w:rPr>
          <w:noProof/>
        </w:rPr>
        <w:t xml:space="preserve"> (pp. 1-38). Berlin: Mouton de Gruyter.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Nikolov, M. (Ed.). (2009b). </w:t>
      </w:r>
      <w:r w:rsidRPr="009B22B9">
        <w:rPr>
          <w:i/>
          <w:noProof/>
        </w:rPr>
        <w:t>The age factor and early language learning</w:t>
      </w:r>
      <w:r>
        <w:rPr>
          <w:noProof/>
        </w:rPr>
        <w:t>. Berlin: Mouton de Gruyter.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Patkowski, M. (1980). The sensitive period for the acquisition of syntax in a second language. </w:t>
      </w:r>
      <w:r w:rsidRPr="009B22B9">
        <w:rPr>
          <w:i/>
          <w:noProof/>
        </w:rPr>
        <w:t>Language Learning, 30</w:t>
      </w:r>
      <w:r>
        <w:rPr>
          <w:noProof/>
        </w:rPr>
        <w:t>(2), 449-472.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  <w:highlight w:val="magenta"/>
        </w:rPr>
      </w:pP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  <w:r>
        <w:rPr>
          <w:noProof/>
        </w:rPr>
        <w:t xml:space="preserve">White, L., &amp; Genesee, F. (1996). How native is near-native? The issue of ultimate attainment in adult second language acquisition. </w:t>
      </w:r>
      <w:r w:rsidRPr="009B22B9">
        <w:rPr>
          <w:i/>
          <w:noProof/>
        </w:rPr>
        <w:t>Second Language Research, 12</w:t>
      </w:r>
      <w:r>
        <w:rPr>
          <w:noProof/>
        </w:rPr>
        <w:t>(3), 233-265.</w:t>
      </w:r>
    </w:p>
    <w:p w:rsidR="00F26589" w:rsidRDefault="00F26589" w:rsidP="00472974">
      <w:pPr>
        <w:spacing w:after="0" w:line="240" w:lineRule="auto"/>
        <w:ind w:left="720" w:hanging="720"/>
        <w:jc w:val="both"/>
        <w:rPr>
          <w:noProof/>
        </w:rPr>
      </w:pPr>
    </w:p>
    <w:p w:rsidR="00F26589" w:rsidRDefault="00F26589" w:rsidP="00472974">
      <w:pPr>
        <w:spacing w:after="0" w:line="240" w:lineRule="auto"/>
        <w:jc w:val="both"/>
      </w:pPr>
      <w:r w:rsidRPr="00700CB7">
        <w:fldChar w:fldCharType="end"/>
      </w:r>
    </w:p>
    <w:sectPr w:rsidR="00F26589" w:rsidSect="00660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411" w:right="1440" w:bottom="1411" w:left="1440" w:header="734" w:footer="7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BA" w:rsidRDefault="005A3CBA" w:rsidP="00596494">
      <w:pPr>
        <w:spacing w:after="0" w:line="240" w:lineRule="auto"/>
      </w:pPr>
      <w:r>
        <w:separator/>
      </w:r>
    </w:p>
  </w:endnote>
  <w:endnote w:type="continuationSeparator" w:id="0">
    <w:p w:rsidR="005A3CBA" w:rsidRDefault="005A3CBA" w:rsidP="005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1B" w:rsidRDefault="00660C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89" w:rsidRDefault="00BA4509" w:rsidP="00D00895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BA4509">
      <w:rPr>
        <w:rStyle w:val="PageNumber"/>
      </w:rPr>
      <w:fldChar w:fldCharType="begin"/>
    </w:r>
    <w:r w:rsidRPr="00BA4509">
      <w:rPr>
        <w:rStyle w:val="PageNumber"/>
      </w:rPr>
      <w:instrText xml:space="preserve"> PAGE   \* MERGEFORMAT </w:instrText>
    </w:r>
    <w:r w:rsidRPr="00BA4509">
      <w:rPr>
        <w:rStyle w:val="PageNumber"/>
      </w:rPr>
      <w:fldChar w:fldCharType="separate"/>
    </w:r>
    <w:r w:rsidR="002E0C6D">
      <w:rPr>
        <w:rStyle w:val="PageNumber"/>
        <w:noProof/>
      </w:rPr>
      <w:t>3</w:t>
    </w:r>
    <w:r w:rsidRPr="00BA4509">
      <w:rPr>
        <w:rStyle w:val="PageNumber"/>
        <w:noProof/>
      </w:rPr>
      <w:fldChar w:fldCharType="end"/>
    </w:r>
  </w:p>
  <w:p w:rsidR="00F26589" w:rsidRDefault="00BA4509" w:rsidP="00BA4509">
    <w:pPr>
      <w:pStyle w:val="Footer"/>
      <w:spacing w:after="0" w:line="240" w:lineRule="auto"/>
      <w:ind w:right="432"/>
      <w:jc w:val="right"/>
      <w:rPr>
        <w:rStyle w:val="PageNumber"/>
        <w:color w:val="000080"/>
      </w:rPr>
    </w:pPr>
    <w:r>
      <w:rPr>
        <w:rStyle w:val="PageNumber"/>
        <w:color w:val="000080"/>
      </w:rPr>
      <w:t>177 Webster St., #</w:t>
    </w:r>
    <w:r w:rsidR="00F26589" w:rsidRPr="009D7061">
      <w:rPr>
        <w:rStyle w:val="PageNumber"/>
        <w:color w:val="000080"/>
      </w:rPr>
      <w:t xml:space="preserve"> 220, Monterey, CA  93940  USA</w:t>
    </w:r>
  </w:p>
  <w:p w:rsidR="00F26589" w:rsidRPr="002179EE" w:rsidRDefault="00F26589" w:rsidP="00BA4509">
    <w:pPr>
      <w:pStyle w:val="Footer"/>
      <w:spacing w:after="0" w:line="240" w:lineRule="auto"/>
      <w:ind w:right="432"/>
      <w:jc w:val="right"/>
      <w:rPr>
        <w:b/>
        <w:color w:val="000080"/>
      </w:rPr>
    </w:pPr>
    <w:r w:rsidRPr="00044CB8">
      <w:rPr>
        <w:rStyle w:val="PageNumber"/>
        <w:b/>
        <w:color w:val="000080"/>
      </w:rPr>
      <w:t xml:space="preserve">Web: </w:t>
    </w:r>
    <w:r w:rsidRPr="009D7061">
      <w:rPr>
        <w:rStyle w:val="PageNumber"/>
        <w:color w:val="000080"/>
      </w:rPr>
      <w:t>www.tirfonline.org</w:t>
    </w:r>
    <w:r>
      <w:rPr>
        <w:rStyle w:val="PageNumber"/>
        <w:color w:val="000080"/>
      </w:rPr>
      <w:t xml:space="preserve"> </w:t>
    </w:r>
    <w:r>
      <w:rPr>
        <w:rStyle w:val="PageNumber"/>
        <w:b/>
        <w:color w:val="000080"/>
      </w:rPr>
      <w:t>/</w:t>
    </w:r>
    <w:r w:rsidRPr="00044CB8">
      <w:rPr>
        <w:rStyle w:val="PageNumber"/>
        <w:b/>
        <w:color w:val="000080"/>
      </w:rPr>
      <w:t xml:space="preserve"> Email: </w:t>
    </w:r>
    <w:smartTag w:uri="urn:schemas-microsoft-com:office:smarttags" w:element="PersonName">
      <w:r w:rsidRPr="009D7061">
        <w:rPr>
          <w:rStyle w:val="PageNumber"/>
          <w:color w:val="000080"/>
        </w:rPr>
        <w:t>info@tirfonline.org</w:t>
      </w:r>
    </w:smartTag>
    <w:r>
      <w:rPr>
        <w:rStyle w:val="PageNumber"/>
        <w:b/>
        <w:color w:val="000080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89" w:rsidRPr="00472310" w:rsidRDefault="00F26589" w:rsidP="00472310">
    <w:pPr>
      <w:pStyle w:val="Footer"/>
      <w:pBdr>
        <w:bottom w:val="single" w:sz="12" w:space="1" w:color="auto"/>
      </w:pBdr>
      <w:ind w:right="360"/>
      <w:jc w:val="right"/>
      <w:rPr>
        <w:rStyle w:val="PageNumber"/>
        <w:lang w:val="en-US"/>
      </w:rPr>
    </w:pPr>
    <w:r w:rsidRPr="00472310">
      <w:rPr>
        <w:rStyle w:val="PageNumber"/>
        <w:color w:val="000080"/>
        <w:lang w:val="en-US"/>
      </w:rPr>
      <w:softHyphen/>
    </w:r>
    <w:r w:rsidR="00660C1B" w:rsidRPr="00660C1B">
      <w:rPr>
        <w:rStyle w:val="PageNumber"/>
        <w:color w:val="000080"/>
        <w:lang w:val="en-US"/>
      </w:rPr>
      <w:fldChar w:fldCharType="begin"/>
    </w:r>
    <w:r w:rsidR="00660C1B" w:rsidRPr="00660C1B">
      <w:rPr>
        <w:rStyle w:val="PageNumber"/>
        <w:color w:val="000080"/>
        <w:lang w:val="en-US"/>
      </w:rPr>
      <w:instrText xml:space="preserve"> PAGE   \* MERGEFORMAT </w:instrText>
    </w:r>
    <w:r w:rsidR="00660C1B" w:rsidRPr="00660C1B">
      <w:rPr>
        <w:rStyle w:val="PageNumber"/>
        <w:color w:val="000080"/>
        <w:lang w:val="en-US"/>
      </w:rPr>
      <w:fldChar w:fldCharType="separate"/>
    </w:r>
    <w:r w:rsidR="009E19CF">
      <w:rPr>
        <w:rStyle w:val="PageNumber"/>
        <w:noProof/>
        <w:color w:val="000080"/>
        <w:lang w:val="en-US"/>
      </w:rPr>
      <w:t>1</w:t>
    </w:r>
    <w:r w:rsidR="00660C1B" w:rsidRPr="00660C1B">
      <w:rPr>
        <w:rStyle w:val="PageNumber"/>
        <w:noProof/>
        <w:color w:val="000080"/>
        <w:lang w:val="en-US"/>
      </w:rPr>
      <w:fldChar w:fldCharType="end"/>
    </w:r>
  </w:p>
  <w:p w:rsidR="00F26589" w:rsidRPr="00574DFE" w:rsidRDefault="002E5F2E" w:rsidP="00660C1B">
    <w:pPr>
      <w:pStyle w:val="Footer"/>
      <w:spacing w:after="0" w:line="240" w:lineRule="auto"/>
      <w:ind w:right="360"/>
      <w:jc w:val="right"/>
      <w:rPr>
        <w:rStyle w:val="PageNumber"/>
        <w:color w:val="000080"/>
      </w:rPr>
    </w:pPr>
    <w:r>
      <w:rPr>
        <w:rStyle w:val="PageNumber"/>
        <w:color w:val="000080"/>
      </w:rPr>
      <w:t xml:space="preserve">177 Webster St., </w:t>
    </w:r>
    <w:r w:rsidR="000D0C33">
      <w:rPr>
        <w:rStyle w:val="PageNumber"/>
        <w:color w:val="000080"/>
      </w:rPr>
      <w:t>#</w:t>
    </w:r>
    <w:r w:rsidR="00F26589" w:rsidRPr="00574DFE">
      <w:rPr>
        <w:rStyle w:val="PageNumber"/>
        <w:color w:val="000080"/>
      </w:rPr>
      <w:t xml:space="preserve"> 220, Monterey, CA  93940  USA</w:t>
    </w:r>
  </w:p>
  <w:p w:rsidR="00F26589" w:rsidRPr="00574DFE" w:rsidRDefault="00F26589" w:rsidP="00660C1B">
    <w:pPr>
      <w:pStyle w:val="Footer"/>
      <w:spacing w:after="0" w:line="240" w:lineRule="auto"/>
      <w:ind w:right="360"/>
      <w:jc w:val="right"/>
      <w:rPr>
        <w:b/>
        <w:color w:val="000080"/>
      </w:rPr>
    </w:pPr>
    <w:r w:rsidRPr="00574DFE">
      <w:rPr>
        <w:rStyle w:val="PageNumber"/>
        <w:b/>
        <w:color w:val="000080"/>
      </w:rPr>
      <w:t xml:space="preserve">Web: </w:t>
    </w:r>
    <w:r w:rsidRPr="00574DFE">
      <w:rPr>
        <w:rStyle w:val="PageNumber"/>
        <w:color w:val="000080"/>
      </w:rPr>
      <w:t xml:space="preserve">www.tirfonline.org </w:t>
    </w:r>
    <w:r w:rsidRPr="00574DFE">
      <w:rPr>
        <w:rStyle w:val="PageNumber"/>
        <w:b/>
        <w:color w:val="000080"/>
      </w:rPr>
      <w:t xml:space="preserve">/ Email: </w:t>
    </w:r>
    <w:smartTag w:uri="urn:schemas-microsoft-com:office:smarttags" w:element="PersonName">
      <w:r w:rsidRPr="00574DFE">
        <w:rPr>
          <w:rStyle w:val="PageNumber"/>
          <w:color w:val="000080"/>
        </w:rPr>
        <w:t>info@tirfonline.org</w:t>
      </w:r>
    </w:smartTag>
    <w:r w:rsidRPr="00574DFE">
      <w:rPr>
        <w:rStyle w:val="PageNumber"/>
        <w:b/>
        <w:color w:val="00008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BA" w:rsidRDefault="005A3CBA" w:rsidP="00596494">
      <w:pPr>
        <w:spacing w:after="0" w:line="240" w:lineRule="auto"/>
      </w:pPr>
      <w:r>
        <w:separator/>
      </w:r>
    </w:p>
  </w:footnote>
  <w:footnote w:type="continuationSeparator" w:id="0">
    <w:p w:rsidR="005A3CBA" w:rsidRDefault="005A3CBA" w:rsidP="005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1B" w:rsidRDefault="00660C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B7" w:rsidRDefault="00ED40B7" w:rsidP="00ED40B7">
    <w:pPr>
      <w:pStyle w:val="Header"/>
      <w:rPr>
        <w:b/>
        <w:color w:val="000080"/>
        <w:sz w:val="28"/>
        <w:u w:val="single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B092344" wp14:editId="589AD339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80"/>
        <w:sz w:val="28"/>
      </w:rPr>
      <w:t xml:space="preserve">                        </w:t>
    </w:r>
    <w:r w:rsidRPr="00044CB8">
      <w:rPr>
        <w:b/>
        <w:color w:val="000080"/>
        <w:sz w:val="28"/>
        <w:u w:val="single"/>
      </w:rPr>
      <w:t>The International Research Foundation</w:t>
    </w:r>
  </w:p>
  <w:p w:rsidR="00ED40B7" w:rsidRPr="009D7061" w:rsidRDefault="00ED40B7" w:rsidP="00ED40B7">
    <w:pPr>
      <w:pStyle w:val="Header"/>
      <w:rPr>
        <w:b/>
        <w:color w:val="000080"/>
        <w:u w:val="single"/>
      </w:rPr>
    </w:pPr>
    <w:r>
      <w:rPr>
        <w:b/>
        <w:color w:val="000080"/>
        <w:sz w:val="28"/>
      </w:rPr>
      <w:t xml:space="preserve">                        </w:t>
    </w:r>
    <w:r w:rsidRPr="009D7061">
      <w:rPr>
        <w:b/>
        <w:color w:val="000080"/>
      </w:rPr>
      <w:t>for English Language Education</w:t>
    </w:r>
  </w:p>
  <w:p w:rsidR="00ED40B7" w:rsidRDefault="00ED40B7">
    <w:pPr>
      <w:pStyle w:val="Header"/>
    </w:pPr>
  </w:p>
  <w:p w:rsidR="00ED40B7" w:rsidRDefault="00ED40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89" w:rsidRPr="00574DFE" w:rsidRDefault="00BA5531" w:rsidP="00472310">
    <w:pPr>
      <w:pStyle w:val="Header"/>
      <w:ind w:left="720"/>
      <w:rPr>
        <w:b/>
        <w:color w:val="000080"/>
        <w:u w:val="single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6A624B9" wp14:editId="6EDBA013">
          <wp:simplePos x="0" y="0"/>
          <wp:positionH relativeFrom="column">
            <wp:posOffset>-47625</wp:posOffset>
          </wp:positionH>
          <wp:positionV relativeFrom="paragraph">
            <wp:posOffset>0</wp:posOffset>
          </wp:positionV>
          <wp:extent cx="914400" cy="4965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6589" w:rsidRPr="00574DFE">
      <w:rPr>
        <w:b/>
        <w:color w:val="000080"/>
      </w:rPr>
      <w:t xml:space="preserve">                 </w:t>
    </w:r>
    <w:r w:rsidR="00F26589" w:rsidRPr="00574DFE">
      <w:rPr>
        <w:b/>
        <w:color w:val="000080"/>
        <w:u w:val="single"/>
      </w:rPr>
      <w:t>The International Research Foundation</w:t>
    </w:r>
  </w:p>
  <w:p w:rsidR="00F26589" w:rsidRPr="00574DFE" w:rsidRDefault="00F26589" w:rsidP="00472310">
    <w:pPr>
      <w:pStyle w:val="Header"/>
      <w:ind w:left="720"/>
      <w:rPr>
        <w:b/>
        <w:color w:val="000080"/>
        <w:u w:val="single"/>
      </w:rPr>
    </w:pPr>
    <w:r w:rsidRPr="00574DFE">
      <w:rPr>
        <w:b/>
        <w:color w:val="000080"/>
      </w:rPr>
      <w:t xml:space="preserve">                 for English Language Education</w:t>
    </w:r>
  </w:p>
  <w:p w:rsidR="00F26589" w:rsidRDefault="00F26589">
    <w:pPr>
      <w:pStyle w:val="Header"/>
    </w:pPr>
  </w:p>
  <w:p w:rsidR="00ED40B7" w:rsidRDefault="00ED40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C682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308C4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FA727C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61FE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9F4EEE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2869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022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08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2CD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1004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F12300"/>
    <w:multiLevelType w:val="multilevel"/>
    <w:tmpl w:val="E1AABEBA"/>
    <w:lvl w:ilvl="0">
      <w:start w:val="1"/>
      <w:numFmt w:val="decimal"/>
      <w:pStyle w:val="Heading1"/>
      <w:suff w:val="space"/>
      <w:lvlText w:val="Chapter %1"/>
      <w:lvlJc w:val="left"/>
      <w:pPr>
        <w:ind w:left="43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 w:hint="default"/>
      </w:rPr>
    </w:lvl>
  </w:abstractNum>
  <w:abstractNum w:abstractNumId="11">
    <w:nsid w:val="61F074FC"/>
    <w:multiLevelType w:val="multilevel"/>
    <w:tmpl w:val="A04AB1A0"/>
    <w:lvl w:ilvl="0">
      <w:start w:val="7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72" w:hanging="432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41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6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11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1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6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/>
      </w:rPr>
    </w:lvl>
  </w:abstractNum>
  <w:num w:numId="1">
    <w:abstractNumId w:val="11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A3"/>
    <w:rsid w:val="00020AEB"/>
    <w:rsid w:val="00026BF8"/>
    <w:rsid w:val="00044CB8"/>
    <w:rsid w:val="000668D9"/>
    <w:rsid w:val="000839F1"/>
    <w:rsid w:val="000942CA"/>
    <w:rsid w:val="000A2E14"/>
    <w:rsid w:val="000C1852"/>
    <w:rsid w:val="000D0C33"/>
    <w:rsid w:val="000E6C42"/>
    <w:rsid w:val="000F0AE3"/>
    <w:rsid w:val="000F72A1"/>
    <w:rsid w:val="00113CDF"/>
    <w:rsid w:val="0012428E"/>
    <w:rsid w:val="001265FF"/>
    <w:rsid w:val="001349AA"/>
    <w:rsid w:val="0017760C"/>
    <w:rsid w:val="001C2654"/>
    <w:rsid w:val="001E311F"/>
    <w:rsid w:val="001F6487"/>
    <w:rsid w:val="002024BB"/>
    <w:rsid w:val="002179EE"/>
    <w:rsid w:val="00221B75"/>
    <w:rsid w:val="00236E6A"/>
    <w:rsid w:val="00281B9F"/>
    <w:rsid w:val="00282043"/>
    <w:rsid w:val="002B23A9"/>
    <w:rsid w:val="002E0C6D"/>
    <w:rsid w:val="002E5F2E"/>
    <w:rsid w:val="003341A4"/>
    <w:rsid w:val="00337470"/>
    <w:rsid w:val="003C0DF7"/>
    <w:rsid w:val="003C60D3"/>
    <w:rsid w:val="003D4467"/>
    <w:rsid w:val="00432E54"/>
    <w:rsid w:val="004339F3"/>
    <w:rsid w:val="0043454B"/>
    <w:rsid w:val="00463B19"/>
    <w:rsid w:val="00472310"/>
    <w:rsid w:val="00472974"/>
    <w:rsid w:val="00487A9F"/>
    <w:rsid w:val="00496DC9"/>
    <w:rsid w:val="00547E88"/>
    <w:rsid w:val="005636F9"/>
    <w:rsid w:val="00563F8C"/>
    <w:rsid w:val="00574DFE"/>
    <w:rsid w:val="0058214D"/>
    <w:rsid w:val="00590D4A"/>
    <w:rsid w:val="00596494"/>
    <w:rsid w:val="005A3CBA"/>
    <w:rsid w:val="005C17AB"/>
    <w:rsid w:val="005C19F0"/>
    <w:rsid w:val="0062568C"/>
    <w:rsid w:val="0065427B"/>
    <w:rsid w:val="00660C1B"/>
    <w:rsid w:val="0066688C"/>
    <w:rsid w:val="00691391"/>
    <w:rsid w:val="00697135"/>
    <w:rsid w:val="006A4D5F"/>
    <w:rsid w:val="006B0E49"/>
    <w:rsid w:val="00700CB7"/>
    <w:rsid w:val="007036F7"/>
    <w:rsid w:val="00724681"/>
    <w:rsid w:val="00735451"/>
    <w:rsid w:val="00743443"/>
    <w:rsid w:val="007569D4"/>
    <w:rsid w:val="00776F49"/>
    <w:rsid w:val="007A163B"/>
    <w:rsid w:val="00835515"/>
    <w:rsid w:val="008463C0"/>
    <w:rsid w:val="00853EA1"/>
    <w:rsid w:val="008B6A43"/>
    <w:rsid w:val="008E1AEF"/>
    <w:rsid w:val="008E3422"/>
    <w:rsid w:val="008E3FF3"/>
    <w:rsid w:val="0090244A"/>
    <w:rsid w:val="009346ED"/>
    <w:rsid w:val="009A180D"/>
    <w:rsid w:val="009B22B9"/>
    <w:rsid w:val="009C018D"/>
    <w:rsid w:val="009D7061"/>
    <w:rsid w:val="009E19CF"/>
    <w:rsid w:val="00A04833"/>
    <w:rsid w:val="00A13EEE"/>
    <w:rsid w:val="00A253AB"/>
    <w:rsid w:val="00A47858"/>
    <w:rsid w:val="00A80177"/>
    <w:rsid w:val="00AD234F"/>
    <w:rsid w:val="00AE09F2"/>
    <w:rsid w:val="00AF74CE"/>
    <w:rsid w:val="00B5358C"/>
    <w:rsid w:val="00B57734"/>
    <w:rsid w:val="00B7085E"/>
    <w:rsid w:val="00BA4509"/>
    <w:rsid w:val="00BA5531"/>
    <w:rsid w:val="00BD24A2"/>
    <w:rsid w:val="00C062CE"/>
    <w:rsid w:val="00C302F8"/>
    <w:rsid w:val="00C42F59"/>
    <w:rsid w:val="00C60D42"/>
    <w:rsid w:val="00CA1A82"/>
    <w:rsid w:val="00CB70A3"/>
    <w:rsid w:val="00CC435C"/>
    <w:rsid w:val="00D00895"/>
    <w:rsid w:val="00D5339B"/>
    <w:rsid w:val="00D65A45"/>
    <w:rsid w:val="00D835C5"/>
    <w:rsid w:val="00D874C4"/>
    <w:rsid w:val="00DC12CC"/>
    <w:rsid w:val="00DC60C8"/>
    <w:rsid w:val="00DD5EE8"/>
    <w:rsid w:val="00DF53BF"/>
    <w:rsid w:val="00E0047C"/>
    <w:rsid w:val="00E504ED"/>
    <w:rsid w:val="00E556F4"/>
    <w:rsid w:val="00E71098"/>
    <w:rsid w:val="00E92AA5"/>
    <w:rsid w:val="00EA0F31"/>
    <w:rsid w:val="00EB4B85"/>
    <w:rsid w:val="00EB53A3"/>
    <w:rsid w:val="00EB5A01"/>
    <w:rsid w:val="00ED40B7"/>
    <w:rsid w:val="00F26589"/>
    <w:rsid w:val="00F54BA3"/>
    <w:rsid w:val="00F55168"/>
    <w:rsid w:val="00F96A47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Heading1"/>
    <w:qFormat/>
    <w:rsid w:val="00F54BA3"/>
    <w:pPr>
      <w:spacing w:after="200" w:line="36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4BA3"/>
    <w:pPr>
      <w:keepNext/>
      <w:keepLines/>
      <w:numPr>
        <w:numId w:val="3"/>
      </w:numPr>
      <w:spacing w:before="480" w:after="0"/>
      <w:jc w:val="center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4B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4BA3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4BA3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54BA3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4BA3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4BA3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Arial"/>
      <w:lang w:eastAsia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4BA3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lang w:eastAsia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54BA3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4BA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54BA3"/>
    <w:rPr>
      <w:rFonts w:ascii="Cambria" w:hAnsi="Cambria" w:cs="Times New Roman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54BA3"/>
    <w:rPr>
      <w:rFonts w:ascii="Cambria" w:hAnsi="Cambria" w:cs="Times New Roman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54BA3"/>
    <w:rPr>
      <w:rFonts w:ascii="Calibri" w:hAnsi="Calibri" w:cs="Arial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54BA3"/>
    <w:rPr>
      <w:rFonts w:ascii="Calibri" w:hAnsi="Calibri" w:cs="Arial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54BA3"/>
    <w:rPr>
      <w:rFonts w:ascii="Calibri" w:hAnsi="Calibri" w:cs="Arial"/>
      <w:b/>
      <w:bCs/>
      <w:sz w:val="22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54BA3"/>
    <w:rPr>
      <w:rFonts w:ascii="Calibri" w:hAnsi="Calibri" w:cs="Arial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54BA3"/>
    <w:rPr>
      <w:rFonts w:ascii="Calibri" w:hAnsi="Calibri" w:cs="Arial"/>
      <w:i/>
      <w:iCs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54BA3"/>
    <w:rPr>
      <w:rFonts w:ascii="Cambria" w:hAnsi="Cambria" w:cs="Times New Roman"/>
      <w:sz w:val="22"/>
      <w:szCs w:val="22"/>
      <w:lang w:eastAsia="en-GB"/>
    </w:rPr>
  </w:style>
  <w:style w:type="paragraph" w:customStyle="1" w:styleId="TableNotes">
    <w:name w:val="TableNotes"/>
    <w:basedOn w:val="Normal"/>
    <w:link w:val="TableNotesChar"/>
    <w:uiPriority w:val="99"/>
    <w:rsid w:val="00724681"/>
    <w:pPr>
      <w:spacing w:after="100" w:afterAutospacing="1"/>
    </w:pPr>
    <w:rPr>
      <w:lang w:val="en-US"/>
    </w:rPr>
  </w:style>
  <w:style w:type="character" w:customStyle="1" w:styleId="TableNotesChar">
    <w:name w:val="TableNotes Char"/>
    <w:basedOn w:val="DefaultParagraphFont"/>
    <w:link w:val="TableNotes"/>
    <w:uiPriority w:val="99"/>
    <w:locked/>
    <w:rsid w:val="00724681"/>
    <w:rPr>
      <w:rFonts w:eastAsia="Times New Roman" w:cs="Times New Roman"/>
      <w:lang w:val="en-US"/>
    </w:rPr>
  </w:style>
  <w:style w:type="paragraph" w:customStyle="1" w:styleId="ChpHeadings">
    <w:name w:val="ChpHeadings"/>
    <w:basedOn w:val="Normal"/>
    <w:link w:val="ChpHeadingsChar"/>
    <w:uiPriority w:val="99"/>
    <w:rsid w:val="00C60D42"/>
    <w:pPr>
      <w:spacing w:after="100" w:afterAutospacing="1" w:line="480" w:lineRule="auto"/>
      <w:ind w:left="1222" w:hanging="360"/>
    </w:pPr>
    <w:rPr>
      <w:b/>
      <w:bCs/>
      <w:lang w:val="en-US"/>
    </w:rPr>
  </w:style>
  <w:style w:type="character" w:customStyle="1" w:styleId="ChpHeadingsChar">
    <w:name w:val="ChpHeadings Char"/>
    <w:basedOn w:val="DefaultParagraphFont"/>
    <w:link w:val="ChpHeadings"/>
    <w:uiPriority w:val="99"/>
    <w:locked/>
    <w:rsid w:val="00C60D42"/>
    <w:rPr>
      <w:rFonts w:cs="Times New Roman"/>
      <w:b/>
      <w:bCs/>
      <w:lang w:val="en-US"/>
    </w:rPr>
  </w:style>
  <w:style w:type="paragraph" w:styleId="Header">
    <w:name w:val="header"/>
    <w:basedOn w:val="Normal"/>
    <w:link w:val="HeaderChar"/>
    <w:uiPriority w:val="99"/>
    <w:rsid w:val="00F5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54BA3"/>
    <w:rPr>
      <w:rFonts w:eastAsia="Times New Roman" w:cs="Times New Roman"/>
    </w:rPr>
  </w:style>
  <w:style w:type="character" w:styleId="Hyperlink">
    <w:name w:val="Hyperlink"/>
    <w:basedOn w:val="DefaultParagraphFont"/>
    <w:uiPriority w:val="99"/>
    <w:rsid w:val="00F54BA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locked/>
    <w:rsid w:val="00C062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0895"/>
    <w:rPr>
      <w:rFonts w:cs="Times New Roman"/>
      <w:sz w:val="24"/>
      <w:szCs w:val="24"/>
      <w:lang w:val="en-GB" w:eastAsia="en-US" w:bidi="ar-SA"/>
    </w:rPr>
  </w:style>
  <w:style w:type="character" w:styleId="PageNumber">
    <w:name w:val="page number"/>
    <w:basedOn w:val="DefaultParagraphFont"/>
    <w:uiPriority w:val="99"/>
    <w:locked/>
    <w:rsid w:val="00D0089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Heading1"/>
    <w:qFormat/>
    <w:rsid w:val="00F54BA3"/>
    <w:pPr>
      <w:spacing w:after="200" w:line="36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4BA3"/>
    <w:pPr>
      <w:keepNext/>
      <w:keepLines/>
      <w:numPr>
        <w:numId w:val="3"/>
      </w:numPr>
      <w:spacing w:before="480" w:after="0"/>
      <w:jc w:val="center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4B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4BA3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4BA3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54BA3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4BA3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4BA3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Arial"/>
      <w:lang w:eastAsia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4BA3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lang w:eastAsia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54BA3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4BA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54BA3"/>
    <w:rPr>
      <w:rFonts w:ascii="Cambria" w:hAnsi="Cambria" w:cs="Times New Roman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54BA3"/>
    <w:rPr>
      <w:rFonts w:ascii="Cambria" w:hAnsi="Cambria" w:cs="Times New Roman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54BA3"/>
    <w:rPr>
      <w:rFonts w:ascii="Calibri" w:hAnsi="Calibri" w:cs="Arial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54BA3"/>
    <w:rPr>
      <w:rFonts w:ascii="Calibri" w:hAnsi="Calibri" w:cs="Arial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54BA3"/>
    <w:rPr>
      <w:rFonts w:ascii="Calibri" w:hAnsi="Calibri" w:cs="Arial"/>
      <w:b/>
      <w:bCs/>
      <w:sz w:val="22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54BA3"/>
    <w:rPr>
      <w:rFonts w:ascii="Calibri" w:hAnsi="Calibri" w:cs="Arial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54BA3"/>
    <w:rPr>
      <w:rFonts w:ascii="Calibri" w:hAnsi="Calibri" w:cs="Arial"/>
      <w:i/>
      <w:iCs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54BA3"/>
    <w:rPr>
      <w:rFonts w:ascii="Cambria" w:hAnsi="Cambria" w:cs="Times New Roman"/>
      <w:sz w:val="22"/>
      <w:szCs w:val="22"/>
      <w:lang w:eastAsia="en-GB"/>
    </w:rPr>
  </w:style>
  <w:style w:type="paragraph" w:customStyle="1" w:styleId="TableNotes">
    <w:name w:val="TableNotes"/>
    <w:basedOn w:val="Normal"/>
    <w:link w:val="TableNotesChar"/>
    <w:uiPriority w:val="99"/>
    <w:rsid w:val="00724681"/>
    <w:pPr>
      <w:spacing w:after="100" w:afterAutospacing="1"/>
    </w:pPr>
    <w:rPr>
      <w:lang w:val="en-US"/>
    </w:rPr>
  </w:style>
  <w:style w:type="character" w:customStyle="1" w:styleId="TableNotesChar">
    <w:name w:val="TableNotes Char"/>
    <w:basedOn w:val="DefaultParagraphFont"/>
    <w:link w:val="TableNotes"/>
    <w:uiPriority w:val="99"/>
    <w:locked/>
    <w:rsid w:val="00724681"/>
    <w:rPr>
      <w:rFonts w:eastAsia="Times New Roman" w:cs="Times New Roman"/>
      <w:lang w:val="en-US"/>
    </w:rPr>
  </w:style>
  <w:style w:type="paragraph" w:customStyle="1" w:styleId="ChpHeadings">
    <w:name w:val="ChpHeadings"/>
    <w:basedOn w:val="Normal"/>
    <w:link w:val="ChpHeadingsChar"/>
    <w:uiPriority w:val="99"/>
    <w:rsid w:val="00C60D42"/>
    <w:pPr>
      <w:spacing w:after="100" w:afterAutospacing="1" w:line="480" w:lineRule="auto"/>
      <w:ind w:left="1222" w:hanging="360"/>
    </w:pPr>
    <w:rPr>
      <w:b/>
      <w:bCs/>
      <w:lang w:val="en-US"/>
    </w:rPr>
  </w:style>
  <w:style w:type="character" w:customStyle="1" w:styleId="ChpHeadingsChar">
    <w:name w:val="ChpHeadings Char"/>
    <w:basedOn w:val="DefaultParagraphFont"/>
    <w:link w:val="ChpHeadings"/>
    <w:uiPriority w:val="99"/>
    <w:locked/>
    <w:rsid w:val="00C60D42"/>
    <w:rPr>
      <w:rFonts w:cs="Times New Roman"/>
      <w:b/>
      <w:bCs/>
      <w:lang w:val="en-US"/>
    </w:rPr>
  </w:style>
  <w:style w:type="paragraph" w:styleId="Header">
    <w:name w:val="header"/>
    <w:basedOn w:val="Normal"/>
    <w:link w:val="HeaderChar"/>
    <w:uiPriority w:val="99"/>
    <w:rsid w:val="00F5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54BA3"/>
    <w:rPr>
      <w:rFonts w:eastAsia="Times New Roman" w:cs="Times New Roman"/>
    </w:rPr>
  </w:style>
  <w:style w:type="character" w:styleId="Hyperlink">
    <w:name w:val="Hyperlink"/>
    <w:basedOn w:val="DefaultParagraphFont"/>
    <w:uiPriority w:val="99"/>
    <w:rsid w:val="00F54BA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locked/>
    <w:rsid w:val="00C062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0895"/>
    <w:rPr>
      <w:rFonts w:cs="Times New Roman"/>
      <w:sz w:val="24"/>
      <w:szCs w:val="24"/>
      <w:lang w:val="en-GB" w:eastAsia="en-US" w:bidi="ar-SA"/>
    </w:rPr>
  </w:style>
  <w:style w:type="character" w:styleId="PageNumber">
    <w:name w:val="page number"/>
    <w:basedOn w:val="DefaultParagraphFont"/>
    <w:uiPriority w:val="99"/>
    <w:locked/>
    <w:rsid w:val="00D008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References</vt:lpstr>
    </vt:vector>
  </TitlesOfParts>
  <Company>Monterey Institute of International Studies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creator>Kathi Bailey</dc:creator>
  <cp:lastModifiedBy>Kathi Bailey</cp:lastModifiedBy>
  <cp:revision>2</cp:revision>
  <dcterms:created xsi:type="dcterms:W3CDTF">2012-08-13T18:36:00Z</dcterms:created>
  <dcterms:modified xsi:type="dcterms:W3CDTF">2012-08-13T18:36:00Z</dcterms:modified>
</cp:coreProperties>
</file>