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589" w:rsidRPr="002B6A9A" w:rsidRDefault="00F26589" w:rsidP="002B6A9A">
      <w:pPr>
        <w:pStyle w:val="Heading1"/>
        <w:numPr>
          <w:ilvl w:val="0"/>
          <w:numId w:val="0"/>
        </w:numPr>
        <w:spacing w:before="0" w:line="240" w:lineRule="auto"/>
        <w:ind w:left="720" w:hanging="720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0" w:name="_Toc263196234"/>
      <w:r w:rsidRPr="002B6A9A">
        <w:rPr>
          <w:rFonts w:ascii="Times New Roman" w:hAnsi="Times New Roman"/>
          <w:color w:val="auto"/>
          <w:sz w:val="24"/>
          <w:szCs w:val="24"/>
          <w:u w:val="single"/>
        </w:rPr>
        <w:t>AGE ISSUES IN SECOND LANGUAGE LEARNING:</w:t>
      </w:r>
    </w:p>
    <w:p w:rsidR="00F26589" w:rsidRPr="002B6A9A" w:rsidRDefault="00F26589" w:rsidP="002B6A9A">
      <w:pPr>
        <w:pStyle w:val="Heading1"/>
        <w:numPr>
          <w:ilvl w:val="0"/>
          <w:numId w:val="0"/>
        </w:numPr>
        <w:spacing w:before="0" w:line="240" w:lineRule="auto"/>
        <w:ind w:left="720" w:hanging="720"/>
        <w:rPr>
          <w:rFonts w:ascii="Times New Roman" w:hAnsi="Times New Roman"/>
          <w:color w:val="auto"/>
          <w:sz w:val="24"/>
          <w:szCs w:val="24"/>
          <w:u w:val="single"/>
        </w:rPr>
      </w:pPr>
      <w:r w:rsidRPr="002B6A9A">
        <w:rPr>
          <w:rFonts w:ascii="Times New Roman" w:hAnsi="Times New Roman"/>
          <w:color w:val="auto"/>
          <w:sz w:val="24"/>
          <w:szCs w:val="24"/>
          <w:u w:val="single"/>
        </w:rPr>
        <w:t>SELECTED REFERE</w:t>
      </w:r>
      <w:r w:rsidR="00660C1B" w:rsidRPr="002B6A9A">
        <w:rPr>
          <w:rFonts w:ascii="Times New Roman" w:hAnsi="Times New Roman"/>
          <w:color w:val="auto"/>
          <w:sz w:val="24"/>
          <w:szCs w:val="24"/>
          <w:u w:val="single"/>
        </w:rPr>
        <w:t>N</w:t>
      </w:r>
      <w:r w:rsidRPr="002B6A9A">
        <w:rPr>
          <w:rFonts w:ascii="Times New Roman" w:hAnsi="Times New Roman"/>
          <w:color w:val="auto"/>
          <w:sz w:val="24"/>
          <w:szCs w:val="24"/>
          <w:u w:val="single"/>
        </w:rPr>
        <w:t>CES</w:t>
      </w:r>
      <w:bookmarkEnd w:id="0"/>
    </w:p>
    <w:p w:rsidR="00F26589" w:rsidRPr="002B6A9A" w:rsidRDefault="00E931E0" w:rsidP="002B6A9A">
      <w:pPr>
        <w:spacing w:after="0" w:line="240" w:lineRule="auto"/>
        <w:ind w:left="720" w:hanging="720"/>
        <w:jc w:val="center"/>
        <w:rPr>
          <w:b/>
        </w:rPr>
      </w:pPr>
      <w:r w:rsidRPr="002B6A9A">
        <w:rPr>
          <w:b/>
        </w:rPr>
        <w:t>(L</w:t>
      </w:r>
      <w:r w:rsidR="00875397" w:rsidRPr="002B6A9A">
        <w:rPr>
          <w:b/>
        </w:rPr>
        <w:t xml:space="preserve">ast updated </w:t>
      </w:r>
      <w:r w:rsidR="00515686" w:rsidRPr="002B6A9A">
        <w:rPr>
          <w:b/>
        </w:rPr>
        <w:t>20</w:t>
      </w:r>
      <w:r w:rsidR="00E01CC3" w:rsidRPr="002B6A9A">
        <w:rPr>
          <w:b/>
        </w:rPr>
        <w:t xml:space="preserve"> October</w:t>
      </w:r>
      <w:r w:rsidR="00C57BC6" w:rsidRPr="002B6A9A">
        <w:rPr>
          <w:b/>
        </w:rPr>
        <w:t xml:space="preserve"> 2018</w:t>
      </w:r>
      <w:r w:rsidR="00F26589" w:rsidRPr="002B6A9A">
        <w:rPr>
          <w:b/>
        </w:rPr>
        <w:t>)</w:t>
      </w:r>
    </w:p>
    <w:p w:rsidR="00C533B1" w:rsidRPr="002B6A9A" w:rsidRDefault="00C533B1" w:rsidP="002B6A9A">
      <w:pPr>
        <w:spacing w:after="0" w:line="240" w:lineRule="auto"/>
        <w:ind w:left="720" w:hanging="720"/>
      </w:pPr>
    </w:p>
    <w:p w:rsidR="009E472F" w:rsidRPr="002B6A9A" w:rsidRDefault="002A156B" w:rsidP="002B6A9A">
      <w:pPr>
        <w:spacing w:after="0" w:line="240" w:lineRule="auto"/>
        <w:ind w:left="720" w:hanging="720"/>
        <w:rPr>
          <w:noProof/>
        </w:rPr>
      </w:pPr>
      <w:r w:rsidRPr="002B6A9A">
        <w:fldChar w:fldCharType="begin"/>
      </w:r>
      <w:r w:rsidR="00F26589" w:rsidRPr="002B6A9A">
        <w:instrText xml:space="preserve"> ADDIN EN.REFLIST </w:instrText>
      </w:r>
      <w:r w:rsidRPr="002B6A9A">
        <w:fldChar w:fldCharType="separate"/>
      </w:r>
      <w:proofErr w:type="spellStart"/>
      <w:r w:rsidR="009E472F" w:rsidRPr="002B6A9A">
        <w:t>Abrahamsson</w:t>
      </w:r>
      <w:proofErr w:type="spellEnd"/>
      <w:r w:rsidR="009E472F" w:rsidRPr="002B6A9A">
        <w:t xml:space="preserve">, N. (2012). </w:t>
      </w:r>
      <w:bookmarkStart w:id="1" w:name="OLE_LINK2"/>
      <w:bookmarkStart w:id="2" w:name="OLE_LINK1"/>
      <w:r w:rsidR="009E472F" w:rsidRPr="002B6A9A">
        <w:t>Age of onset and nativelike L2 ultimate attainment of morphosyntactic and phonetic intuition</w:t>
      </w:r>
      <w:bookmarkEnd w:id="1"/>
      <w:bookmarkEnd w:id="2"/>
      <w:r w:rsidR="009E472F" w:rsidRPr="002B6A9A">
        <w:t>.</w:t>
      </w:r>
      <w:r w:rsidR="009E472F" w:rsidRPr="002B6A9A">
        <w:rPr>
          <w:iCs/>
        </w:rPr>
        <w:t xml:space="preserve"> </w:t>
      </w:r>
      <w:r w:rsidR="009E472F" w:rsidRPr="002B6A9A">
        <w:rPr>
          <w:i/>
          <w:iCs/>
        </w:rPr>
        <w:t>Studies in Second Language Acquisition, 34,</w:t>
      </w:r>
      <w:r w:rsidR="009E472F" w:rsidRPr="002B6A9A">
        <w:rPr>
          <w:iCs/>
        </w:rPr>
        <w:t xml:space="preserve"> 187-214.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Abrahamsson, N., &amp; Hyltenstam, K. (2009). Age of onset and nativelikeness in a second language: Listener perception versus linguistic scrutiny. </w:t>
      </w:r>
      <w:r w:rsidRPr="002B6A9A">
        <w:rPr>
          <w:rFonts w:ascii="Times New Roman" w:hAnsi="Times New Roman" w:cs="Times New Roman"/>
          <w:i/>
          <w:sz w:val="24"/>
          <w:szCs w:val="24"/>
        </w:rPr>
        <w:t>59</w:t>
      </w:r>
      <w:r w:rsidRPr="002B6A9A">
        <w:rPr>
          <w:rFonts w:ascii="Times New Roman" w:hAnsi="Times New Roman" w:cs="Times New Roman"/>
          <w:sz w:val="24"/>
          <w:szCs w:val="24"/>
        </w:rPr>
        <w:t>(2), 249-306. DOI: 10.1111/j.1467-9922.</w:t>
      </w:r>
      <w:proofErr w:type="gramStart"/>
      <w:r w:rsidRPr="002B6A9A">
        <w:rPr>
          <w:rFonts w:ascii="Times New Roman" w:hAnsi="Times New Roman" w:cs="Times New Roman"/>
          <w:sz w:val="24"/>
          <w:szCs w:val="24"/>
        </w:rPr>
        <w:t>2009.00507.x</w:t>
      </w:r>
      <w:proofErr w:type="gramEnd"/>
      <w:r w:rsidRPr="002B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Abutalebi, J., Cappa, S. F., &amp; Perani, D. (2005). What can functional neuroimaging tell us about the bilingual brain? In J. F. Kroll &amp; A. M. B. de Groot (Eds.), </w:t>
      </w:r>
      <w:r w:rsidRPr="002B6A9A">
        <w:rPr>
          <w:i/>
          <w:iCs/>
        </w:rPr>
        <w:t xml:space="preserve">Handbook of bilingualism: Psycholinguistic approaches </w:t>
      </w:r>
      <w:r w:rsidRPr="002B6A9A">
        <w:rPr>
          <w:iCs/>
        </w:rPr>
        <w:t>(</w:t>
      </w:r>
      <w:r w:rsidRPr="002B6A9A">
        <w:t>pp. 497–515)</w:t>
      </w:r>
      <w:r w:rsidRPr="002B6A9A">
        <w:rPr>
          <w:i/>
          <w:iCs/>
        </w:rPr>
        <w:t xml:space="preserve">. </w:t>
      </w:r>
      <w:r w:rsidRPr="002B6A9A">
        <w:t>New York, NY: Oxford University Press.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Al-Thubaiti, K. (2007). </w:t>
      </w:r>
      <w:r w:rsidRPr="002B6A9A">
        <w:rPr>
          <w:i/>
          <w:noProof/>
        </w:rPr>
        <w:t>Age effects on the ultimate attainment of proficient Arabic speakers of English.</w:t>
      </w:r>
      <w:r w:rsidRPr="002B6A9A">
        <w:rPr>
          <w:noProof/>
        </w:rPr>
        <w:t xml:space="preserve"> Unpublished master's of research dissertation, Essex University, Colchester, UK.</w:t>
      </w:r>
    </w:p>
    <w:p w:rsidR="009E472F" w:rsidRPr="002B6A9A" w:rsidRDefault="009E472F" w:rsidP="002B6A9A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9E472F" w:rsidRPr="002B6A9A" w:rsidRDefault="009E472F" w:rsidP="002B6A9A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2B6A9A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Álvarez, E. (2006). Rate and route of acquisition in EFL narrative development at different ages. In C. Muñoz (Ed.), </w:t>
      </w:r>
      <w:r w:rsidRPr="002B6A9A">
        <w:rPr>
          <w:rFonts w:ascii="Times New Roman" w:eastAsia="Calibri" w:hAnsi="Times New Roman"/>
          <w:b w:val="0"/>
          <w:i/>
          <w:iCs/>
          <w:color w:val="auto"/>
          <w:sz w:val="24"/>
          <w:szCs w:val="24"/>
        </w:rPr>
        <w:t>Age and the rate of foreign language learning</w:t>
      </w:r>
      <w:r w:rsidRPr="002B6A9A">
        <w:rPr>
          <w:rFonts w:ascii="Times New Roman" w:eastAsia="Calibri" w:hAnsi="Times New Roman"/>
          <w:b w:val="0"/>
          <w:iCs/>
          <w:color w:val="auto"/>
          <w:sz w:val="24"/>
          <w:szCs w:val="24"/>
        </w:rPr>
        <w:t xml:space="preserve"> </w:t>
      </w:r>
      <w:r w:rsidRPr="002B6A9A">
        <w:rPr>
          <w:rFonts w:ascii="Times New Roman" w:eastAsia="Calibri" w:hAnsi="Times New Roman"/>
          <w:b w:val="0"/>
          <w:color w:val="auto"/>
          <w:sz w:val="24"/>
          <w:szCs w:val="24"/>
        </w:rPr>
        <w:t>(pp. 127–155). Clevedon, UK: Multilingual Matters.</w:t>
      </w:r>
    </w:p>
    <w:p w:rsidR="009E472F" w:rsidRPr="002B6A9A" w:rsidRDefault="009E472F" w:rsidP="002B6A9A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</w:p>
    <w:p w:rsidR="00E01CC3" w:rsidRDefault="009E472F" w:rsidP="002B6A9A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  <w:r w:rsidRPr="002B6A9A">
        <w:rPr>
          <w:rFonts w:eastAsia="Arial Unicode MS"/>
          <w:bCs/>
          <w:kern w:val="3"/>
          <w:lang w:eastAsia="zh-CN" w:bidi="hi-IN"/>
        </w:rPr>
        <w:t xml:space="preserve">Asher, J.  J., &amp; Garcia, R. (1969). The optimal age to learn a foreign language. </w:t>
      </w:r>
      <w:r w:rsidRPr="002B6A9A">
        <w:rPr>
          <w:rFonts w:eastAsia="Arial Unicode MS"/>
          <w:bCs/>
          <w:i/>
          <w:kern w:val="3"/>
          <w:lang w:eastAsia="zh-CN" w:bidi="hi-IN"/>
        </w:rPr>
        <w:t>Modern Language Journal, 53</w:t>
      </w:r>
      <w:r w:rsidRPr="002B6A9A">
        <w:rPr>
          <w:rFonts w:eastAsia="Arial Unicode MS"/>
          <w:bCs/>
          <w:kern w:val="3"/>
          <w:lang w:eastAsia="zh-CN" w:bidi="hi-IN"/>
        </w:rPr>
        <w:t>, 334-341.</w:t>
      </w:r>
    </w:p>
    <w:p w:rsidR="002B6A9A" w:rsidRDefault="002B6A9A" w:rsidP="002B6A9A">
      <w:pPr>
        <w:spacing w:line="240" w:lineRule="auto"/>
        <w:ind w:left="720" w:hanging="720"/>
      </w:pPr>
    </w:p>
    <w:p w:rsidR="009E472F" w:rsidRPr="002B6A9A" w:rsidRDefault="009E472F" w:rsidP="002B6A9A">
      <w:pPr>
        <w:spacing w:line="240" w:lineRule="auto"/>
        <w:ind w:left="720" w:hanging="720"/>
      </w:pPr>
      <w:bookmarkStart w:id="3" w:name="_GoBack"/>
      <w:bookmarkEnd w:id="3"/>
      <w:r w:rsidRPr="002B6A9A">
        <w:t xml:space="preserve">Asher, J. J., &amp; Price, B. S. (1967). The learning strategy of the total physical response: Some age differences. </w:t>
      </w:r>
      <w:r w:rsidRPr="002B6A9A">
        <w:rPr>
          <w:i/>
        </w:rPr>
        <w:t>Child Development, 38</w:t>
      </w:r>
      <w:r w:rsidRPr="002B6A9A">
        <w:t xml:space="preserve">(4), 1219-1227. 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Ausubel, D. P. (1964). Adults versus children in second‐language learning: Psychological Considerations. </w:t>
      </w:r>
      <w:r w:rsidRPr="002B6A9A">
        <w:rPr>
          <w:i/>
          <w:iCs/>
        </w:rPr>
        <w:t>The Modern Language Journal</w:t>
      </w:r>
      <w:r w:rsidRPr="002B6A9A">
        <w:t xml:space="preserve">, </w:t>
      </w:r>
      <w:r w:rsidRPr="002B6A9A">
        <w:rPr>
          <w:i/>
          <w:iCs/>
        </w:rPr>
        <w:t>48</w:t>
      </w:r>
      <w:r w:rsidRPr="002B6A9A">
        <w:t>(7), 420-424.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Backman, L., &amp; Farde, L. (2005). The role of dopamine systems in cognitive aging. In R. Cabeza, L. Nyberg, &amp; D. Park (Eds.), </w:t>
      </w:r>
      <w:r w:rsidRPr="002B6A9A">
        <w:rPr>
          <w:i/>
          <w:iCs/>
        </w:rPr>
        <w:t xml:space="preserve">Cognitive neuroscience of aging: Linking cognitive and cerebral aging </w:t>
      </w:r>
      <w:r w:rsidRPr="002B6A9A">
        <w:rPr>
          <w:iCs/>
        </w:rPr>
        <w:t>(</w:t>
      </w:r>
      <w:r w:rsidRPr="002B6A9A">
        <w:t>pp. 58-84). New York, NY: Oxford University Press.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Baker, W. (2010). Effects of age and experience on the production of English word-final stops by Korean speakers. </w:t>
      </w:r>
      <w:r w:rsidRPr="002B6A9A">
        <w:rPr>
          <w:rFonts w:ascii="Times New Roman" w:hAnsi="Times New Roman" w:cs="Times New Roman"/>
          <w:i/>
          <w:sz w:val="24"/>
          <w:szCs w:val="24"/>
        </w:rPr>
        <w:t>Bilingualism: Language and Cognition, 13</w:t>
      </w:r>
      <w:r w:rsidRPr="002B6A9A">
        <w:rPr>
          <w:rFonts w:ascii="Times New Roman" w:hAnsi="Times New Roman" w:cs="Times New Roman"/>
          <w:sz w:val="24"/>
          <w:szCs w:val="24"/>
        </w:rPr>
        <w:t xml:space="preserve">(3), 263-278. DOI: 10.1017/s13667289099006.x 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Best, C T., Roberts G. W., &amp; Sithole, N. M. (1988). Examination of perceptual reorganization for nonnative speech contrasts: Zulu click discrimination by English speaking adults and infants. </w:t>
      </w:r>
      <w:r w:rsidRPr="002B6A9A">
        <w:rPr>
          <w:rFonts w:ascii="Times New Roman" w:hAnsi="Times New Roman" w:cs="Times New Roman"/>
          <w:i/>
          <w:sz w:val="24"/>
          <w:szCs w:val="24"/>
        </w:rPr>
        <w:t>Journal of Experimental Psychology: Human Perception and Performance, 14</w:t>
      </w:r>
      <w:r w:rsidRPr="002B6A9A">
        <w:rPr>
          <w:rFonts w:ascii="Times New Roman" w:hAnsi="Times New Roman" w:cs="Times New Roman"/>
          <w:sz w:val="24"/>
          <w:szCs w:val="24"/>
        </w:rPr>
        <w:t xml:space="preserve">(3), 345-360. 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lastRenderedPageBreak/>
        <w:t xml:space="preserve">Bialystok, E., &amp; Hakuta, K. (1999). Confounded age: Linguistic and cognitive factors in age differences for second language acquisition. In D. Birdsong (Ed.), </w:t>
      </w:r>
      <w:r w:rsidRPr="002B6A9A">
        <w:rPr>
          <w:i/>
          <w:noProof/>
        </w:rPr>
        <w:t>Second language acquisition and the critical period hypothesis</w:t>
      </w:r>
      <w:r w:rsidRPr="002B6A9A">
        <w:rPr>
          <w:noProof/>
        </w:rPr>
        <w:t xml:space="preserve"> (pp. 161-181). Mahwah, NJ: Lawrence Erlbaum.'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Bialystok, E., &amp; Miller, B. (1999). The problem of age in second-language acquisition: Influences from language, structure, and task. </w:t>
      </w:r>
      <w:r w:rsidRPr="002B6A9A">
        <w:rPr>
          <w:i/>
          <w:noProof/>
        </w:rPr>
        <w:t>Bilingualism: Language and Cognition, 2</w:t>
      </w:r>
      <w:r w:rsidRPr="002B6A9A">
        <w:rPr>
          <w:noProof/>
        </w:rPr>
        <w:t>(2), 127-145.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Birdsong, D. (1992). Ultimate attainment in second language acquisition. </w:t>
      </w:r>
      <w:r w:rsidRPr="002B6A9A">
        <w:rPr>
          <w:i/>
          <w:noProof/>
        </w:rPr>
        <w:t>Language, 68</w:t>
      </w:r>
      <w:r w:rsidRPr="002B6A9A">
        <w:rPr>
          <w:noProof/>
        </w:rPr>
        <w:t>(4), 706-755.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Birdsong, D. (1999). Introduction: Whys and why nots of the critical period hypothesis. In D. Birdsong (Ed.), </w:t>
      </w:r>
      <w:r w:rsidRPr="002B6A9A">
        <w:rPr>
          <w:i/>
          <w:iCs/>
        </w:rPr>
        <w:t xml:space="preserve">Second language acquisition and the critical period hypothesis </w:t>
      </w:r>
      <w:r w:rsidRPr="002B6A9A">
        <w:rPr>
          <w:iCs/>
        </w:rPr>
        <w:t>(</w:t>
      </w:r>
      <w:r w:rsidRPr="002B6A9A">
        <w:t>pp. 1-22). Mahwah, NJ: Erlbaum.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Birdsong, D. (2003). Authenticit´e de prononciation en francais L2 chez des apprenants tardifs anglophones: Analyses segmentales et globales. </w:t>
      </w:r>
      <w:r w:rsidRPr="002B6A9A">
        <w:rPr>
          <w:i/>
          <w:iCs/>
        </w:rPr>
        <w:t>Acquisition et Interaction en Langue E´ trange`re</w:t>
      </w:r>
      <w:r w:rsidRPr="002B6A9A">
        <w:t xml:space="preserve">, </w:t>
      </w:r>
      <w:r w:rsidRPr="002B6A9A">
        <w:rPr>
          <w:i/>
          <w:iCs/>
        </w:rPr>
        <w:t>18</w:t>
      </w:r>
      <w:r w:rsidRPr="002B6A9A">
        <w:t>, 17–36.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Birdsong, D. (2005). Interpreting age effects in second language acquisition. In J. F. Kroll &amp; A. M. B. de Groot (Eds.), </w:t>
      </w:r>
      <w:r w:rsidRPr="002B6A9A">
        <w:rPr>
          <w:i/>
          <w:noProof/>
        </w:rPr>
        <w:t>Handbook of bilingualism: Psycholinguistic approaches</w:t>
      </w:r>
      <w:r w:rsidRPr="002B6A9A">
        <w:rPr>
          <w:noProof/>
        </w:rPr>
        <w:t xml:space="preserve"> (pp. 109–127). New York: Oxford University Press.</w:t>
      </w:r>
    </w:p>
    <w:p w:rsidR="009E472F" w:rsidRPr="002B6A9A" w:rsidRDefault="009E472F" w:rsidP="002B6A9A">
      <w:pPr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Birdsong, D. (2006). Age and second language acquisition and processing: A selective overview. </w:t>
      </w:r>
      <w:r w:rsidRPr="002B6A9A">
        <w:rPr>
          <w:i/>
          <w:iCs/>
        </w:rPr>
        <w:t>Language Learning</w:t>
      </w:r>
      <w:r w:rsidRPr="002B6A9A">
        <w:t xml:space="preserve">, </w:t>
      </w:r>
      <w:r w:rsidRPr="002B6A9A">
        <w:rPr>
          <w:i/>
          <w:iCs/>
        </w:rPr>
        <w:t>56</w:t>
      </w:r>
      <w:r w:rsidRPr="002B6A9A">
        <w:t>(9), 9-38.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Birdsong, D. (2009). Age and the end state of second language acquisition. In W. Ritchie &amp; T. Bhatia (Eds.), </w:t>
      </w:r>
      <w:r w:rsidRPr="002B6A9A">
        <w:rPr>
          <w:i/>
          <w:noProof/>
        </w:rPr>
        <w:t>The new handbook of second langugae acquisition</w:t>
      </w:r>
      <w:r w:rsidRPr="002B6A9A">
        <w:rPr>
          <w:noProof/>
        </w:rPr>
        <w:t xml:space="preserve"> (pp. 401-424). Bingley: Emerlad Group.</w:t>
      </w:r>
    </w:p>
    <w:p w:rsidR="009E472F" w:rsidRPr="002B6A9A" w:rsidRDefault="009E472F" w:rsidP="002B6A9A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</w:p>
    <w:p w:rsidR="009E472F" w:rsidRPr="002B6A9A" w:rsidRDefault="009E472F" w:rsidP="002B6A9A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  <w:r w:rsidRPr="002B6A9A">
        <w:rPr>
          <w:rFonts w:eastAsia="Arial Unicode MS"/>
          <w:bCs/>
          <w:kern w:val="3"/>
          <w:lang w:eastAsia="zh-CN" w:bidi="hi-IN"/>
        </w:rPr>
        <w:t xml:space="preserve">Birdsong, D., &amp; Molis, M. (2001). On the evidence for maturational constraints in second </w:t>
      </w:r>
      <w:proofErr w:type="gramStart"/>
      <w:r w:rsidRPr="002B6A9A">
        <w:rPr>
          <w:rFonts w:eastAsia="Arial Unicode MS"/>
          <w:bCs/>
          <w:kern w:val="3"/>
          <w:lang w:eastAsia="zh-CN" w:bidi="hi-IN"/>
        </w:rPr>
        <w:t>language  acquisition</w:t>
      </w:r>
      <w:proofErr w:type="gramEnd"/>
      <w:r w:rsidRPr="002B6A9A">
        <w:rPr>
          <w:rFonts w:eastAsia="Arial Unicode MS"/>
          <w:bCs/>
          <w:kern w:val="3"/>
          <w:lang w:eastAsia="zh-CN" w:bidi="hi-IN"/>
        </w:rPr>
        <w:t>.</w:t>
      </w:r>
      <w:r w:rsidRPr="002B6A9A">
        <w:rPr>
          <w:rFonts w:eastAsia="Arial Unicode MS"/>
          <w:bCs/>
          <w:iCs/>
          <w:kern w:val="3"/>
          <w:lang w:eastAsia="zh-CN" w:bidi="hi-IN"/>
        </w:rPr>
        <w:t xml:space="preserve"> </w:t>
      </w:r>
      <w:r w:rsidRPr="002B6A9A">
        <w:rPr>
          <w:rFonts w:eastAsia="Arial Unicode MS"/>
          <w:bCs/>
          <w:i/>
          <w:iCs/>
          <w:kern w:val="3"/>
          <w:lang w:eastAsia="zh-CN" w:bidi="hi-IN"/>
        </w:rPr>
        <w:t>Journal of Memory and Language, 44</w:t>
      </w:r>
      <w:r w:rsidRPr="002B6A9A">
        <w:rPr>
          <w:rFonts w:eastAsia="Arial Unicode MS"/>
          <w:bCs/>
          <w:kern w:val="3"/>
          <w:lang w:eastAsia="zh-CN" w:bidi="hi-IN"/>
        </w:rPr>
        <w:t>, 235-249.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Birdsong, D., &amp; Molis, M. (2001). On the evidence for maturational constraints in second-language acquisition. </w:t>
      </w:r>
      <w:r w:rsidRPr="002B6A9A">
        <w:rPr>
          <w:i/>
          <w:noProof/>
        </w:rPr>
        <w:t>Journal of Memory and Language, 44</w:t>
      </w:r>
      <w:r w:rsidRPr="002B6A9A">
        <w:rPr>
          <w:noProof/>
        </w:rPr>
        <w:t>(2), 235-249.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Bley-Vroman, R. (1989). What is the logical problem of foreign language learning? In S. Gass &amp; J. Schachter (Eds.), </w:t>
      </w:r>
      <w:r w:rsidRPr="002B6A9A">
        <w:rPr>
          <w:i/>
          <w:iCs/>
        </w:rPr>
        <w:t xml:space="preserve">Linguistic perspectives on second language acquisition </w:t>
      </w:r>
      <w:r w:rsidRPr="002B6A9A">
        <w:rPr>
          <w:iCs/>
        </w:rPr>
        <w:t>(</w:t>
      </w:r>
      <w:r w:rsidRPr="002B6A9A">
        <w:t>pp. 41-68). Cambridge, UK: Cambridge University Press.</w:t>
      </w:r>
    </w:p>
    <w:p w:rsidR="009E472F" w:rsidRPr="002B6A9A" w:rsidRDefault="009E472F" w:rsidP="002B6A9A">
      <w:pPr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Bongaerts, T. (1999). Ultimate attainment in L2 pronunciation: The case of very advanced late L2 learners. In D. Birdsong (Ed.), </w:t>
      </w:r>
      <w:r w:rsidRPr="002B6A9A">
        <w:rPr>
          <w:i/>
        </w:rPr>
        <w:t>Second language acquisition and the critical period hypothesis</w:t>
      </w:r>
      <w:r w:rsidRPr="002B6A9A">
        <w:t xml:space="preserve"> (</w:t>
      </w:r>
      <w:r w:rsidRPr="002B6A9A">
        <w:rPr>
          <w:rFonts w:eastAsia="Arial Unicode MS"/>
          <w:bCs/>
          <w:kern w:val="3"/>
          <w:lang w:eastAsia="zh-CN" w:bidi="hi-IN"/>
        </w:rPr>
        <w:t>pp.</w:t>
      </w:r>
      <w:r w:rsidRPr="002B6A9A">
        <w:t xml:space="preserve"> 133-159). Mahwah, NJ: Erlbaum.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2B6A9A">
        <w:rPr>
          <w:rFonts w:eastAsia="Times New Roman"/>
        </w:rPr>
        <w:lastRenderedPageBreak/>
        <w:t xml:space="preserve">Bortfeld, H., Leon, S. D., Bloom, J. E., Schober, M. F., &amp; Brennan, S. E. (2001). Disfluency rates in conversation: Effects of age, relationship, topic, role, and gender. </w:t>
      </w:r>
      <w:r w:rsidRPr="002B6A9A">
        <w:rPr>
          <w:rFonts w:eastAsia="Times New Roman"/>
          <w:i/>
          <w:iCs/>
        </w:rPr>
        <w:t>Language and speech</w:t>
      </w:r>
      <w:r w:rsidRPr="002B6A9A">
        <w:rPr>
          <w:rFonts w:eastAsia="Times New Roman"/>
        </w:rPr>
        <w:t xml:space="preserve">, </w:t>
      </w:r>
      <w:r w:rsidRPr="002B6A9A">
        <w:rPr>
          <w:rFonts w:eastAsia="Times New Roman"/>
          <w:i/>
          <w:iCs/>
        </w:rPr>
        <w:t>44</w:t>
      </w:r>
      <w:r w:rsidRPr="002B6A9A">
        <w:rPr>
          <w:rFonts w:eastAsia="Times New Roman"/>
        </w:rPr>
        <w:t>(2), 123-147.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Boudreault, P., &amp; Mayberry, R. I. (2006). Grammatical processing in American Sign Language: Age of first-language acquisition effects in relation to syntactic structure. </w:t>
      </w:r>
      <w:r w:rsidRPr="002B6A9A">
        <w:rPr>
          <w:i/>
        </w:rPr>
        <w:t>Language and Cognitive Process, 21</w:t>
      </w:r>
      <w:r w:rsidRPr="002B6A9A">
        <w:t>, 608-635.</w:t>
      </w:r>
    </w:p>
    <w:p w:rsidR="009E472F" w:rsidRPr="002B6A9A" w:rsidRDefault="009E472F" w:rsidP="002B6A9A">
      <w:pPr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>Brown, C. (1985b).  Requests for specific language input: Differences between older and younger adult language learners.  In S. Gass &amp; C. Madden (Eds.),</w:t>
      </w:r>
      <w:r w:rsidRPr="002B6A9A">
        <w:rPr>
          <w:i/>
        </w:rPr>
        <w:t xml:space="preserve"> Input in second language acquisition</w:t>
      </w:r>
      <w:r w:rsidRPr="002B6A9A">
        <w:t xml:space="preserve"> (pp. 272-284).  Rowley: Newbury House.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Burda, A. N., Scherz, J. A., Hageman, C. F., &amp; Edwards, H. T. (2003). Age and understanding speakers with Spanish or Taiwanese accents. </w:t>
      </w:r>
      <w:r w:rsidRPr="002B6A9A">
        <w:rPr>
          <w:rFonts w:ascii="Times New Roman" w:hAnsi="Times New Roman" w:cs="Times New Roman"/>
          <w:i/>
          <w:sz w:val="24"/>
          <w:szCs w:val="24"/>
        </w:rPr>
        <w:t>Perceptual and Motor Skills, 97</w:t>
      </w:r>
      <w:r w:rsidRPr="002B6A9A">
        <w:rPr>
          <w:rFonts w:ascii="Times New Roman" w:hAnsi="Times New Roman" w:cs="Times New Roman"/>
          <w:sz w:val="24"/>
          <w:szCs w:val="24"/>
        </w:rPr>
        <w:t xml:space="preserve">(1), 11-20. DOI: 10.2466/pms.2003.97.1.11 </w:t>
      </w:r>
    </w:p>
    <w:p w:rsidR="009E472F" w:rsidRPr="002B6A9A" w:rsidRDefault="009E472F" w:rsidP="002B6A9A">
      <w:pPr>
        <w:spacing w:after="0" w:line="240" w:lineRule="auto"/>
        <w:ind w:left="720" w:hanging="720"/>
      </w:pPr>
      <w:bookmarkStart w:id="4" w:name="_Hlk500571444"/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Byland, E., Hyltenstam, K., &amp; Abrahamsson, N. (2013). Age of acquisition effects or effects of bilingualism in second language ultimate attainment? In G. Granena &amp; M. Long (Eds.), </w:t>
      </w:r>
      <w:r w:rsidRPr="002B6A9A">
        <w:rPr>
          <w:i/>
          <w:iCs/>
        </w:rPr>
        <w:t>Sensitive periods, language aptitude, and ultimate L2 attainment</w:t>
      </w:r>
      <w:r w:rsidRPr="002B6A9A">
        <w:t xml:space="preserve"> (pp. 69-101). Philadelphia, PA: John Benjamins.</w:t>
      </w:r>
      <w:bookmarkEnd w:id="4"/>
      <w:r w:rsidRPr="002B6A9A">
        <w:t xml:space="preserve"> used for age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Cenoz, J. (2002). Age differences in foreign language learning.  </w:t>
      </w:r>
      <w:r w:rsidRPr="002B6A9A">
        <w:rPr>
          <w:i/>
        </w:rPr>
        <w:t>Review of Applied Linguistics, 13</w:t>
      </w:r>
      <w:r w:rsidRPr="002B6A9A">
        <w:t>, 125–142.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Cenoz, J. (2003). The influence of age on the acquisition of English: General proficiency, attitudes and code-mixing. In M. P. Garcı́a Mayo &amp; M. L. Garcı́a Lecumberri (Eds.), </w:t>
      </w:r>
      <w:r w:rsidRPr="002B6A9A">
        <w:rPr>
          <w:i/>
          <w:noProof/>
        </w:rPr>
        <w:t>Age and the acquisition of English as a foreign language</w:t>
      </w:r>
      <w:r w:rsidRPr="002B6A9A">
        <w:rPr>
          <w:noProof/>
        </w:rPr>
        <w:t xml:space="preserve"> (pp. 77-93). Clevedon: Multilingual Matters Ltd.</w:t>
      </w:r>
    </w:p>
    <w:p w:rsidR="009E472F" w:rsidRPr="002B6A9A" w:rsidRDefault="009E472F" w:rsidP="002B6A9A">
      <w:pPr>
        <w:pStyle w:val="NormalWeb"/>
        <w:spacing w:line="240" w:lineRule="auto"/>
        <w:ind w:left="720" w:hanging="720"/>
      </w:pPr>
      <w:r w:rsidRPr="002B6A9A">
        <w:t xml:space="preserve">Cirocki, A. (2011). Age is only a number: Evaluating and modernising dated EFL materials. </w:t>
      </w:r>
      <w:r w:rsidRPr="002B6A9A">
        <w:rPr>
          <w:rStyle w:val="Emphasis"/>
        </w:rPr>
        <w:t>Folio,</w:t>
      </w:r>
      <w:r w:rsidRPr="002B6A9A">
        <w:t xml:space="preserve"> </w:t>
      </w:r>
      <w:r w:rsidRPr="002B6A9A">
        <w:rPr>
          <w:i/>
        </w:rPr>
        <w:t>14</w:t>
      </w:r>
      <w:r w:rsidRPr="002B6A9A">
        <w:t>(2), 12-16.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Clahsen, H., &amp; Muysken, P. (1986). The availability of universal grammar to adult and child learners: A study of the acquisition of German word order. </w:t>
      </w:r>
      <w:r w:rsidRPr="002B6A9A">
        <w:rPr>
          <w:i/>
          <w:noProof/>
        </w:rPr>
        <w:t>Second Language Research, 2</w:t>
      </w:r>
      <w:r w:rsidRPr="002B6A9A">
        <w:rPr>
          <w:noProof/>
        </w:rPr>
        <w:t>(2), 93-119.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Collier, V. P.  (1987).  Age and rate of acquisition of language for academic purposes. </w:t>
      </w:r>
      <w:r w:rsidRPr="002B6A9A">
        <w:rPr>
          <w:i/>
        </w:rPr>
        <w:t>TESOL Quarterly</w:t>
      </w:r>
      <w:r w:rsidRPr="002B6A9A">
        <w:t xml:space="preserve">, </w:t>
      </w:r>
      <w:r w:rsidRPr="002B6A9A">
        <w:rPr>
          <w:i/>
        </w:rPr>
        <w:t>21</w:t>
      </w:r>
      <w:r w:rsidRPr="002B6A9A">
        <w:t xml:space="preserve">, 617-641. </w:t>
      </w: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</w:rPr>
      </w:pPr>
      <w:r w:rsidRPr="002B6A9A">
        <w:rPr>
          <w:rFonts w:eastAsia="Times New Roman"/>
        </w:rPr>
        <w:t xml:space="preserve">Courchesne, E., Chisum, H. J., Townsend, J., Cowles, A., Covington, J., Egaas, B., &amp; Press, G. A. (2000). Normal brain development and aging: Quantitative analysis at in vivo MR imaging in healthy volunteers 1. </w:t>
      </w:r>
      <w:r w:rsidRPr="002B6A9A">
        <w:rPr>
          <w:rFonts w:eastAsia="Times New Roman"/>
          <w:i/>
          <w:iCs/>
        </w:rPr>
        <w:t>Radiology</w:t>
      </w:r>
      <w:r w:rsidRPr="002B6A9A">
        <w:rPr>
          <w:rFonts w:eastAsia="Times New Roman"/>
        </w:rPr>
        <w:t xml:space="preserve">, </w:t>
      </w:r>
      <w:r w:rsidRPr="002B6A9A">
        <w:rPr>
          <w:rFonts w:eastAsia="Times New Roman"/>
          <w:i/>
          <w:iCs/>
        </w:rPr>
        <w:t>216</w:t>
      </w:r>
      <w:r w:rsidRPr="002B6A9A">
        <w:rPr>
          <w:rFonts w:eastAsia="Times New Roman"/>
        </w:rPr>
        <w:t>(3), 672-682.</w:t>
      </w:r>
    </w:p>
    <w:p w:rsidR="009E472F" w:rsidRPr="002B6A9A" w:rsidRDefault="009E472F" w:rsidP="002B6A9A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 w:line="240" w:lineRule="auto"/>
        <w:ind w:left="720" w:hanging="720"/>
        <w:textAlignment w:val="baseline"/>
      </w:pPr>
    </w:p>
    <w:p w:rsidR="009E472F" w:rsidRPr="002B6A9A" w:rsidRDefault="009E472F" w:rsidP="002B6A9A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 w:line="240" w:lineRule="auto"/>
        <w:ind w:left="720" w:hanging="720"/>
        <w:textAlignment w:val="baseline"/>
      </w:pPr>
      <w:r w:rsidRPr="002B6A9A">
        <w:t xml:space="preserve">Cummins, J. (1979). Cognitive/academic language proficiency, linguistic interdependence, the optimum age question and some other matters.  </w:t>
      </w:r>
      <w:r w:rsidRPr="002B6A9A">
        <w:rPr>
          <w:i/>
        </w:rPr>
        <w:t>Working Papers on Bilingualism,</w:t>
      </w:r>
      <w:r w:rsidRPr="002B6A9A">
        <w:t xml:space="preserve"> </w:t>
      </w:r>
      <w:r w:rsidRPr="002B6A9A">
        <w:rPr>
          <w:i/>
        </w:rPr>
        <w:t>19</w:t>
      </w:r>
      <w:r w:rsidRPr="002B6A9A">
        <w:t>, 121–129.</w:t>
      </w:r>
    </w:p>
    <w:p w:rsidR="009E472F" w:rsidRPr="002B6A9A" w:rsidRDefault="009E472F" w:rsidP="002B6A9A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iCs/>
          <w:kern w:val="3"/>
          <w:lang w:eastAsia="zh-CN" w:bidi="hi-IN"/>
        </w:rPr>
      </w:pPr>
    </w:p>
    <w:p w:rsidR="009E472F" w:rsidRPr="002B6A9A" w:rsidRDefault="009E472F" w:rsidP="002B6A9A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iCs/>
          <w:kern w:val="3"/>
          <w:lang w:eastAsia="zh-CN" w:bidi="hi-IN"/>
        </w:rPr>
      </w:pPr>
      <w:r w:rsidRPr="002B6A9A">
        <w:rPr>
          <w:rFonts w:eastAsia="Arial Unicode MS"/>
          <w:bCs/>
          <w:iCs/>
          <w:kern w:val="3"/>
          <w:lang w:eastAsia="zh-CN" w:bidi="hi-IN"/>
        </w:rPr>
        <w:lastRenderedPageBreak/>
        <w:t xml:space="preserve">Curtiss, S. (1977). </w:t>
      </w:r>
      <w:r w:rsidRPr="002B6A9A">
        <w:rPr>
          <w:rFonts w:eastAsia="Arial Unicode MS"/>
          <w:bCs/>
          <w:i/>
          <w:iCs/>
          <w:kern w:val="3"/>
          <w:lang w:eastAsia="zh-CN" w:bidi="hi-IN"/>
        </w:rPr>
        <w:t>Genie: A psycholinguistic study of a modern-day ‘wild child.</w:t>
      </w:r>
      <w:r w:rsidRPr="002B6A9A">
        <w:rPr>
          <w:rFonts w:eastAsia="Arial Unicode MS"/>
          <w:bCs/>
          <w:iCs/>
          <w:kern w:val="3"/>
          <w:lang w:eastAsia="zh-CN" w:bidi="hi-IN"/>
        </w:rPr>
        <w:t>’ New York, NY: Academic Press.</w:t>
      </w:r>
    </w:p>
    <w:p w:rsidR="009E472F" w:rsidRPr="002B6A9A" w:rsidRDefault="009E472F" w:rsidP="002B6A9A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</w:p>
    <w:p w:rsidR="009E472F" w:rsidRPr="002B6A9A" w:rsidRDefault="009E472F" w:rsidP="002B6A9A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  <w:r w:rsidRPr="002B6A9A">
        <w:t xml:space="preserve">De Bot, K., &amp; Schrauf, R.W. (Eds.). (2009) </w:t>
      </w:r>
      <w:r w:rsidRPr="002B6A9A">
        <w:rPr>
          <w:rStyle w:val="Emphasis"/>
        </w:rPr>
        <w:t>Language development over the lifespan</w:t>
      </w:r>
      <w:r w:rsidRPr="002B6A9A">
        <w:t>. New York, NY: Routledge.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DeKeyser, R. (2000). The robustness of critical period effects in second language acquisition. </w:t>
      </w:r>
      <w:r w:rsidRPr="002B6A9A">
        <w:rPr>
          <w:i/>
          <w:noProof/>
        </w:rPr>
        <w:t>Studies in Second Language Acquisition, 22</w:t>
      </w:r>
      <w:r w:rsidRPr="002B6A9A">
        <w:rPr>
          <w:noProof/>
        </w:rPr>
        <w:t>(4), 499-533.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DeKeyser, R. (2006). A critique of recent arguments against the critical period hypothesis. In C.  Abello-Contesse, R. Chacón-Beltrán, M. D. López-Jiménez &amp; M. M. Torreblanca- López (Eds.), </w:t>
      </w:r>
      <w:r w:rsidRPr="002B6A9A">
        <w:rPr>
          <w:i/>
          <w:iCs/>
        </w:rPr>
        <w:t>Age in L2 acquisition and teaching</w:t>
      </w:r>
      <w:r w:rsidRPr="002B6A9A">
        <w:rPr>
          <w:iCs/>
        </w:rPr>
        <w:t xml:space="preserve"> </w:t>
      </w:r>
      <w:r w:rsidRPr="002B6A9A">
        <w:t>(pp. 49-58). New York, NY: Peter Lang.</w:t>
      </w:r>
    </w:p>
    <w:p w:rsidR="009E472F" w:rsidRPr="002B6A9A" w:rsidRDefault="009E472F" w:rsidP="002B6A9A">
      <w:pPr>
        <w:spacing w:line="240" w:lineRule="auto"/>
        <w:ind w:left="720" w:hanging="720"/>
      </w:pPr>
    </w:p>
    <w:p w:rsidR="009E472F" w:rsidRPr="002B6A9A" w:rsidRDefault="009E472F" w:rsidP="002B6A9A">
      <w:pPr>
        <w:spacing w:line="240" w:lineRule="auto"/>
        <w:ind w:left="720" w:hanging="720"/>
      </w:pPr>
      <w:r w:rsidRPr="002B6A9A">
        <w:t xml:space="preserve">DeKeyser, R. M. (2012). Age effects in second language learning. In S. Grass &amp; A. Mackey (Eds.), </w:t>
      </w:r>
      <w:r w:rsidRPr="002B6A9A">
        <w:rPr>
          <w:i/>
          <w:iCs/>
        </w:rPr>
        <w:t>The Routledge handbook of second language acquisition</w:t>
      </w:r>
      <w:r w:rsidRPr="002B6A9A">
        <w:t xml:space="preserve"> (pp. 442-460). London, UK: Routledge. </w:t>
      </w: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DeKeyser, R. M. (2013). Age effects in second language learning: Stepping stones toward better understanding. </w:t>
      </w:r>
      <w:r w:rsidRPr="002B6A9A">
        <w:rPr>
          <w:i/>
        </w:rPr>
        <w:t xml:space="preserve">Language Learning, 63, </w:t>
      </w:r>
      <w:r w:rsidRPr="002B6A9A">
        <w:t>52-67.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DeKeyser, R., &amp; Larson-Hall, J. (2005). What does the critical period really mean? In J. F. Kroll &amp; A. M. B. de Groot (Eds.), </w:t>
      </w:r>
      <w:r w:rsidRPr="002B6A9A">
        <w:rPr>
          <w:i/>
          <w:noProof/>
        </w:rPr>
        <w:t>Handbook of bilingualism: Psycholinguistic approaches</w:t>
      </w:r>
      <w:r w:rsidRPr="002B6A9A">
        <w:rPr>
          <w:noProof/>
        </w:rPr>
        <w:t xml:space="preserve"> (pp. 88-108). Oxford, UK: Oxford University Press.</w:t>
      </w:r>
    </w:p>
    <w:p w:rsidR="009E472F" w:rsidRPr="002B6A9A" w:rsidRDefault="009E472F" w:rsidP="002B6A9A">
      <w:pPr>
        <w:spacing w:line="240" w:lineRule="auto"/>
        <w:ind w:left="720" w:hanging="720"/>
        <w:rPr>
          <w:bCs/>
        </w:rPr>
      </w:pPr>
    </w:p>
    <w:p w:rsidR="009E472F" w:rsidRPr="002B6A9A" w:rsidRDefault="009E472F" w:rsidP="002B6A9A">
      <w:pPr>
        <w:spacing w:line="240" w:lineRule="auto"/>
        <w:ind w:left="720" w:hanging="720"/>
        <w:rPr>
          <w:rFonts w:eastAsia="Times New Roman"/>
          <w:b/>
          <w:bCs/>
          <w:color w:val="365F91"/>
        </w:rPr>
      </w:pPr>
      <w:r w:rsidRPr="002B6A9A">
        <w:rPr>
          <w:bCs/>
        </w:rPr>
        <w:t>DeKeyser, R.M. (2013). Age effects in second language learning: Stepping stones toward better understanding.  In L. Ortega, A Cumming &amp; N.C. Ellis (Eds.), </w:t>
      </w:r>
      <w:r w:rsidRPr="002B6A9A">
        <w:rPr>
          <w:bCs/>
          <w:i/>
          <w:iCs/>
        </w:rPr>
        <w:t>Agendas for language learning research</w:t>
      </w:r>
      <w:r w:rsidRPr="002B6A9A">
        <w:rPr>
          <w:bCs/>
        </w:rPr>
        <w:t> (pp. 52-67). West Sussex, UK: Wiley.</w:t>
      </w:r>
      <w:r w:rsidRPr="002B6A9A">
        <w:rPr>
          <w:rFonts w:eastAsia="Times New Roman"/>
          <w:b/>
          <w:bCs/>
          <w:color w:val="365F91"/>
        </w:rPr>
        <w:t xml:space="preserve"> </w:t>
      </w:r>
    </w:p>
    <w:p w:rsidR="009E472F" w:rsidRPr="002B6A9A" w:rsidRDefault="009E472F" w:rsidP="002B6A9A">
      <w:pPr>
        <w:tabs>
          <w:tab w:val="left" w:pos="9360"/>
        </w:tabs>
        <w:spacing w:after="0" w:line="240" w:lineRule="auto"/>
        <w:ind w:left="720" w:hanging="720"/>
        <w:contextualSpacing/>
      </w:pPr>
      <w:r w:rsidRPr="002B6A9A">
        <w:t xml:space="preserve">Eckert, P. (1997). Age as a sociolinguistic variable. In F. Coulmas (Ed.), </w:t>
      </w:r>
      <w:r w:rsidRPr="002B6A9A">
        <w:rPr>
          <w:i/>
        </w:rPr>
        <w:t xml:space="preserve">The handbook of sociolinguistics </w:t>
      </w:r>
      <w:r w:rsidRPr="002B6A9A">
        <w:t>(pp. 149-167). Oxford, U.K.: Blackwell Publishers.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Eubank, L., &amp; Gregg, K. (1999). Critical periods and (second) language acquisition: Divide et impera. In D. Birdsong (Ed.), </w:t>
      </w:r>
      <w:r w:rsidRPr="002B6A9A">
        <w:rPr>
          <w:i/>
          <w:noProof/>
        </w:rPr>
        <w:t>Second language acquisition and the critical period hypothesis</w:t>
      </w:r>
      <w:r w:rsidRPr="002B6A9A">
        <w:rPr>
          <w:noProof/>
        </w:rPr>
        <w:t xml:space="preserve"> (pp. 65–99). Mahwah, NJ: Lawrence Erlbaum.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</w:rPr>
      </w:pPr>
      <w:r w:rsidRPr="002B6A9A">
        <w:rPr>
          <w:rFonts w:eastAsia="Times New Roman"/>
        </w:rPr>
        <w:t xml:space="preserve">Fathman, A. (1975). The relationship between age and second language productive ability. </w:t>
      </w:r>
      <w:r w:rsidRPr="002B6A9A">
        <w:rPr>
          <w:rFonts w:eastAsia="Times New Roman"/>
          <w:i/>
          <w:iCs/>
        </w:rPr>
        <w:t>Language Learning</w:t>
      </w:r>
      <w:r w:rsidRPr="002B6A9A">
        <w:rPr>
          <w:rFonts w:eastAsia="Times New Roman"/>
        </w:rPr>
        <w:t xml:space="preserve">, </w:t>
      </w:r>
      <w:r w:rsidRPr="002B6A9A">
        <w:rPr>
          <w:rFonts w:eastAsia="Times New Roman"/>
          <w:i/>
          <w:iCs/>
        </w:rPr>
        <w:t>25</w:t>
      </w:r>
      <w:r w:rsidRPr="002B6A9A">
        <w:rPr>
          <w:rFonts w:eastAsia="Times New Roman"/>
        </w:rPr>
        <w:t>(2), 245-253.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  <w:lang w:val="en-US"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2B6A9A">
        <w:rPr>
          <w:rFonts w:eastAsia="Times New Roman"/>
          <w:lang w:val="en-US"/>
        </w:rPr>
        <w:t xml:space="preserve">Flege, J. E. (1999). Age of learning and second language speech. In D. Birdsong (Ed.), </w:t>
      </w:r>
      <w:r w:rsidRPr="002B6A9A">
        <w:rPr>
          <w:rFonts w:eastAsia="Times New Roman"/>
          <w:i/>
          <w:iCs/>
          <w:lang w:val="en-US"/>
        </w:rPr>
        <w:t>Second language acquisition and the critical period hypothesis</w:t>
      </w:r>
      <w:r w:rsidRPr="002B6A9A">
        <w:rPr>
          <w:rFonts w:eastAsia="Times New Roman"/>
          <w:lang w:val="en-US"/>
        </w:rPr>
        <w:t xml:space="preserve"> (pp. 101-131). Mahwah, NJ: Erlbaum. 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Flege, J. E., &amp; Davidian, R. D. (1984). Transfer and developmental processes in adult foreign language speech production. </w:t>
      </w:r>
      <w:r w:rsidRPr="002B6A9A">
        <w:rPr>
          <w:rFonts w:ascii="Times New Roman" w:hAnsi="Times New Roman" w:cs="Times New Roman"/>
          <w:i/>
          <w:sz w:val="24"/>
          <w:szCs w:val="24"/>
        </w:rPr>
        <w:t>Applied Psycholinguistics, 5</w:t>
      </w:r>
      <w:r w:rsidRPr="002B6A9A">
        <w:rPr>
          <w:rFonts w:ascii="Times New Roman" w:hAnsi="Times New Roman" w:cs="Times New Roman"/>
          <w:sz w:val="24"/>
          <w:szCs w:val="24"/>
        </w:rPr>
        <w:t>(4), 323-347. DOI: 10.1017/s014271640000521x</w:t>
      </w: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lastRenderedPageBreak/>
        <w:t xml:space="preserve">Flege, J. E., &amp; Liu, S. (2001). The effect of experience on adults' acquisition of a second language. </w:t>
      </w:r>
      <w:r w:rsidRPr="002B6A9A">
        <w:rPr>
          <w:i/>
        </w:rPr>
        <w:t>Studies in Second Language Acquisition 23,</w:t>
      </w:r>
      <w:r w:rsidRPr="002B6A9A">
        <w:t xml:space="preserve"> 527-552. 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Flege, J. E., &amp; MacKay, I. R. A. (2011). What accounts for ‘age’ effects on overall degree of foreign accent? In M. Wremble, M. Kul, &amp; K. Dziubalska-Kołaczyk (Eds.), </w:t>
      </w:r>
      <w:r w:rsidRPr="002B6A9A">
        <w:rPr>
          <w:rFonts w:ascii="Times New Roman" w:hAnsi="Times New Roman" w:cs="Times New Roman"/>
          <w:i/>
          <w:sz w:val="24"/>
          <w:szCs w:val="24"/>
        </w:rPr>
        <w:t>Achievements and perspectives in the acquisition of second language speech: New Sounds 2010</w:t>
      </w:r>
      <w:r w:rsidRPr="002B6A9A">
        <w:rPr>
          <w:rFonts w:ascii="Times New Roman" w:hAnsi="Times New Roman" w:cs="Times New Roman"/>
          <w:sz w:val="24"/>
          <w:szCs w:val="24"/>
        </w:rPr>
        <w:t xml:space="preserve">, Volume 2 (pp. 65-82). Bern: Peter Lang. 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Flege, J., Yeni-Komshian, G., &amp; Liu, S. (1999). Age constraints on second-language acquisition. </w:t>
      </w:r>
      <w:r w:rsidRPr="002B6A9A">
        <w:rPr>
          <w:i/>
          <w:noProof/>
        </w:rPr>
        <w:t>Journal of Memory and Language, 41</w:t>
      </w:r>
      <w:r w:rsidRPr="002B6A9A">
        <w:rPr>
          <w:noProof/>
        </w:rPr>
        <w:t>(1), 78-104.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Freeman, G. B., &amp; Gibson, G. E. (1988). Dopamine, acetylcholine, and glutamate interactions in aging. Behavioral and neurochemical correlates. </w:t>
      </w:r>
      <w:r w:rsidRPr="002B6A9A">
        <w:rPr>
          <w:i/>
          <w:iCs/>
        </w:rPr>
        <w:t>Annals of the New York Academy of Sciences</w:t>
      </w:r>
      <w:r w:rsidRPr="002B6A9A">
        <w:rPr>
          <w:i/>
        </w:rPr>
        <w:t>, 515</w:t>
      </w:r>
      <w:r w:rsidRPr="002B6A9A">
        <w:t>(1), 191-202.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lang w:val="en-US"/>
        </w:rPr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rPr>
          <w:lang w:val="en-US"/>
        </w:rPr>
        <w:t xml:space="preserve">Galda, D.  (2009). "My words is big problem": The life and learning experiences of three elderly Eastern European refugees studying ESL at a community college. In K. M. Bailey &amp; M. G. Santos, (Eds.). </w:t>
      </w:r>
      <w:r w:rsidRPr="002B6A9A">
        <w:t xml:space="preserve">(2009). </w:t>
      </w:r>
      <w:r w:rsidRPr="002B6A9A">
        <w:rPr>
          <w:i/>
        </w:rPr>
        <w:t>Research on English as a second language in U.S. community colleges: People, programs and potential</w:t>
      </w:r>
      <w:r w:rsidRPr="002B6A9A">
        <w:t>. (pp. 12-141). Ann Arbor: University of Michigan Press.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  <w:lang w:val="en-US"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  <w:lang w:val="en-US"/>
        </w:rPr>
        <w:t xml:space="preserve">García Lecumberri, M. L., &amp; Gallardo, F. (2003). </w:t>
      </w:r>
      <w:r w:rsidRPr="002B6A9A">
        <w:rPr>
          <w:noProof/>
        </w:rPr>
        <w:t xml:space="preserve">English FL sounds in school learners of different ages. In M. P. García Mayo &amp; M. L. García Lecumberri (Eds.), </w:t>
      </w:r>
      <w:r w:rsidRPr="002B6A9A">
        <w:rPr>
          <w:i/>
          <w:noProof/>
        </w:rPr>
        <w:t>Age and the acquisition of English as a foreign language</w:t>
      </w:r>
      <w:r w:rsidRPr="002B6A9A">
        <w:rPr>
          <w:noProof/>
        </w:rPr>
        <w:t xml:space="preserve"> (pp. 115–135). Clevedon: Multilingual Matters Ltd.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Garcı́a Mayo, M. P. (2003). Age, length of exposure and grammaticality judgements in the acquisition of English as a foreign language. In M. P. Garcı́a Mayo &amp; M. L. Garcı́a Lecumberri (Eds.), </w:t>
      </w:r>
      <w:r w:rsidRPr="002B6A9A">
        <w:rPr>
          <w:i/>
          <w:noProof/>
        </w:rPr>
        <w:t>Age and the acquisition of English as a foreign language</w:t>
      </w:r>
      <w:r w:rsidRPr="002B6A9A">
        <w:rPr>
          <w:noProof/>
        </w:rPr>
        <w:t xml:space="preserve"> (pp. 94-114). Clevedon: Multilingual Matters Ltd.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  <w:lang w:val="en-US"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  <w:lang w:val="en-US"/>
        </w:rPr>
      </w:pPr>
      <w:r w:rsidRPr="002B6A9A">
        <w:rPr>
          <w:noProof/>
          <w:lang w:val="en-US"/>
        </w:rPr>
        <w:t xml:space="preserve">Garcı́a Mayo, M. P., &amp; Garcı́a Lecumberri, M. L. (Eds.). </w:t>
      </w:r>
      <w:r w:rsidRPr="002B6A9A">
        <w:rPr>
          <w:noProof/>
        </w:rPr>
        <w:t xml:space="preserve">(2003). </w:t>
      </w:r>
      <w:r w:rsidRPr="002B6A9A">
        <w:rPr>
          <w:i/>
          <w:noProof/>
        </w:rPr>
        <w:t>Age and the acquisition of English as a foreign language</w:t>
      </w:r>
      <w:r w:rsidRPr="002B6A9A">
        <w:rPr>
          <w:noProof/>
        </w:rPr>
        <w:t xml:space="preserve">. </w:t>
      </w:r>
      <w:r w:rsidRPr="002B6A9A">
        <w:rPr>
          <w:noProof/>
          <w:lang w:val="en-US"/>
        </w:rPr>
        <w:t>Clevedon: Multilingual Matters Ltd.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Golomb, J., Kluger, A., de Leon, M. J., Ferris, S. H., Convit, A., Mittelman, M. S., &amp; George, A. E. (1994). Hippocampal formation size in normal human aging: A correlate of delayed secondary memory performance. </w:t>
      </w:r>
      <w:r w:rsidRPr="002B6A9A">
        <w:rPr>
          <w:i/>
          <w:iCs/>
        </w:rPr>
        <w:t>Learning &amp; Memory</w:t>
      </w:r>
      <w:r w:rsidRPr="002B6A9A">
        <w:t xml:space="preserve">, </w:t>
      </w:r>
      <w:r w:rsidRPr="002B6A9A">
        <w:rPr>
          <w:i/>
          <w:iCs/>
        </w:rPr>
        <w:t>1</w:t>
      </w:r>
      <w:r w:rsidRPr="002B6A9A">
        <w:t>(1), 45-54.</w:t>
      </w:r>
    </w:p>
    <w:p w:rsidR="00E01CC3" w:rsidRPr="002B6A9A" w:rsidRDefault="00E01CC3" w:rsidP="002B6A9A">
      <w:pPr>
        <w:spacing w:line="240" w:lineRule="auto"/>
        <w:ind w:left="720" w:hanging="720"/>
      </w:pPr>
    </w:p>
    <w:p w:rsidR="009E472F" w:rsidRPr="002B6A9A" w:rsidRDefault="009E472F" w:rsidP="002B6A9A">
      <w:pPr>
        <w:spacing w:line="240" w:lineRule="auto"/>
        <w:ind w:left="720" w:hanging="720"/>
      </w:pPr>
      <w:r w:rsidRPr="002B6A9A">
        <w:t xml:space="preserve">Granena, G. &amp; Long, M. (2013). Age of onset, length of residence, aptitude and ultimate L2 attainment in three linguistic domains. </w:t>
      </w:r>
      <w:r w:rsidRPr="002B6A9A">
        <w:rPr>
          <w:i/>
        </w:rPr>
        <w:t xml:space="preserve">Second Language Research, </w:t>
      </w:r>
      <w:r w:rsidRPr="002B6A9A">
        <w:t>29(3), 311–343.</w:t>
      </w: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Granena. G., &amp; Long, M. (2013). Introduction and overview. In G. Garnena &amp; M. </w:t>
      </w:r>
      <w:proofErr w:type="gramStart"/>
      <w:r w:rsidRPr="002B6A9A">
        <w:t>Long  (</w:t>
      </w:r>
      <w:proofErr w:type="gramEnd"/>
      <w:r w:rsidRPr="002B6A9A">
        <w:t xml:space="preserve">Eds.), </w:t>
      </w:r>
      <w:r w:rsidRPr="002B6A9A">
        <w:rPr>
          <w:i/>
        </w:rPr>
        <w:t xml:space="preserve">Sensitive periods, language aptitude, and ultimate L2 attainment </w:t>
      </w:r>
      <w:r w:rsidRPr="002B6A9A">
        <w:t>(pp. ix-xv)</w:t>
      </w:r>
      <w:r w:rsidRPr="002B6A9A">
        <w:rPr>
          <w:i/>
        </w:rPr>
        <w:t>.</w:t>
      </w:r>
      <w:r w:rsidRPr="002B6A9A">
        <w:t>Philadelphia, PA: John Benjamin.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lastRenderedPageBreak/>
        <w:t xml:space="preserve">Hakuta, K., Bialystok, E., &amp; Wiley, T. (2003). A test of the critical period hypothesis for second language acquisition. </w:t>
      </w:r>
      <w:r w:rsidRPr="002B6A9A">
        <w:rPr>
          <w:rFonts w:ascii="Times New Roman" w:hAnsi="Times New Roman" w:cs="Times New Roman"/>
          <w:i/>
          <w:sz w:val="24"/>
          <w:szCs w:val="24"/>
        </w:rPr>
        <w:t>Psychological Science, 14</w:t>
      </w:r>
      <w:r w:rsidRPr="002B6A9A">
        <w:rPr>
          <w:rFonts w:ascii="Times New Roman" w:hAnsi="Times New Roman" w:cs="Times New Roman"/>
          <w:sz w:val="24"/>
          <w:szCs w:val="24"/>
        </w:rPr>
        <w:t xml:space="preserve">(1), 31-38. DOI: 10.1111/1467-9280.01415 </w:t>
      </w:r>
    </w:p>
    <w:p w:rsidR="009E472F" w:rsidRPr="002B6A9A" w:rsidRDefault="009E472F" w:rsidP="002B6A9A">
      <w:pPr>
        <w:spacing w:after="0" w:line="240" w:lineRule="auto"/>
        <w:ind w:left="720" w:hanging="720"/>
        <w:rPr>
          <w:bCs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bCs/>
        </w:rPr>
      </w:pPr>
      <w:r w:rsidRPr="002B6A9A">
        <w:rPr>
          <w:bCs/>
        </w:rPr>
        <w:t xml:space="preserve">Harley, B., &amp; Hart, D. (1997). Language aptitude and second language proficiency in classroom learners of different starting ages. </w:t>
      </w:r>
      <w:r w:rsidRPr="002B6A9A">
        <w:rPr>
          <w:bCs/>
          <w:i/>
        </w:rPr>
        <w:t>Studies in Second Language Acquisition, 19</w:t>
      </w:r>
      <w:r w:rsidRPr="002B6A9A">
        <w:rPr>
          <w:bCs/>
        </w:rPr>
        <w:t>, 379-400.</w:t>
      </w:r>
    </w:p>
    <w:p w:rsidR="009E472F" w:rsidRPr="002B6A9A" w:rsidRDefault="009E472F" w:rsidP="002B6A9A">
      <w:pPr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Hellman, B. A. (2008). Vocabulary size and depth of word knowledge in adult-onset second language acquisition. </w:t>
      </w:r>
      <w:r w:rsidRPr="002B6A9A">
        <w:rPr>
          <w:i/>
        </w:rPr>
        <w:t xml:space="preserve">International Journal of Applied Linguistics, 21, </w:t>
      </w:r>
      <w:r w:rsidRPr="002B6A9A">
        <w:t xml:space="preserve">162-182. </w:t>
      </w:r>
    </w:p>
    <w:p w:rsidR="009E472F" w:rsidRPr="002B6A9A" w:rsidRDefault="009E472F" w:rsidP="002B6A9A">
      <w:pPr>
        <w:pStyle w:val="NormalWeb"/>
        <w:spacing w:line="240" w:lineRule="auto"/>
        <w:ind w:left="720" w:hanging="720"/>
      </w:pPr>
      <w:r w:rsidRPr="002B6A9A">
        <w:t xml:space="preserve">Huang, B. H. (2013). The effects of age on second language grammar and speech production. </w:t>
      </w:r>
      <w:r w:rsidRPr="002B6A9A">
        <w:rPr>
          <w:i/>
          <w:iCs/>
        </w:rPr>
        <w:t>Journal of Psycholinguistic Research, 43</w:t>
      </w:r>
      <w:r w:rsidRPr="002B6A9A">
        <w:t>(4), 397-420.</w:t>
      </w:r>
    </w:p>
    <w:p w:rsidR="009E472F" w:rsidRPr="002B6A9A" w:rsidRDefault="009E472F" w:rsidP="002B6A9A">
      <w:pPr>
        <w:pStyle w:val="NormalWeb"/>
        <w:spacing w:line="240" w:lineRule="auto"/>
        <w:ind w:left="720" w:hanging="720"/>
      </w:pPr>
      <w:r w:rsidRPr="002B6A9A">
        <w:t xml:space="preserve">Huang, B. H. (2016). A synthesis of empirical research on the linguistic outcomes of early foreign language instruction. </w:t>
      </w:r>
      <w:r w:rsidRPr="002B6A9A">
        <w:rPr>
          <w:i/>
          <w:iCs/>
        </w:rPr>
        <w:t>International Journal of Multilingualism, 13</w:t>
      </w:r>
      <w:r w:rsidRPr="002B6A9A">
        <w:t>(3), 257-273.</w:t>
      </w:r>
    </w:p>
    <w:p w:rsidR="009E472F" w:rsidRPr="002B6A9A" w:rsidRDefault="009E472F" w:rsidP="002B6A9A">
      <w:pPr>
        <w:pStyle w:val="NormalWeb"/>
        <w:spacing w:line="240" w:lineRule="auto"/>
        <w:ind w:left="720" w:hanging="720"/>
        <w:rPr>
          <w:color w:val="000000"/>
        </w:rPr>
      </w:pPr>
      <w:r w:rsidRPr="002B6A9A">
        <w:t xml:space="preserve">Huang, B. H., &amp; Jun, S.-A. (2011). Specifying the age-related effect on the acquisition of second language prosody. </w:t>
      </w:r>
      <w:r w:rsidRPr="002B6A9A">
        <w:rPr>
          <w:i/>
          <w:iCs/>
        </w:rPr>
        <w:t>Language and Speech, 54</w:t>
      </w:r>
      <w:r w:rsidRPr="002B6A9A">
        <w:t>(3), 387-414.</w:t>
      </w:r>
      <w:r w:rsidRPr="002B6A9A">
        <w:rPr>
          <w:color w:val="000000"/>
        </w:rPr>
        <w:t> </w:t>
      </w:r>
    </w:p>
    <w:p w:rsidR="009E472F" w:rsidRPr="002B6A9A" w:rsidRDefault="009E472F" w:rsidP="002B6A9A">
      <w:pPr>
        <w:pStyle w:val="NormalWeb"/>
        <w:spacing w:line="240" w:lineRule="auto"/>
        <w:ind w:left="720" w:hanging="720"/>
      </w:pPr>
      <w:r w:rsidRPr="002B6A9A">
        <w:t xml:space="preserve">Huang, B. H., &amp; Jun, S.-A. (2015). Age matters, and so may raters: Rater differences in the assessment of foreign accents. </w:t>
      </w:r>
      <w:r w:rsidRPr="002B6A9A">
        <w:rPr>
          <w:i/>
          <w:iCs/>
        </w:rPr>
        <w:t>Studies in Second Language Acquisition, 37</w:t>
      </w:r>
      <w:r w:rsidRPr="002B6A9A">
        <w:t>(4), 623-650.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Hyltenstam, K., &amp; Abrahamsson, N. (2001). Age and L2 learning: The hazards of matching practical “implications” with theoretical “facts”. </w:t>
      </w:r>
      <w:r w:rsidRPr="002B6A9A">
        <w:rPr>
          <w:rFonts w:ascii="Times New Roman" w:hAnsi="Times New Roman" w:cs="Times New Roman"/>
          <w:i/>
          <w:sz w:val="24"/>
          <w:szCs w:val="24"/>
        </w:rPr>
        <w:t>TESOL</w:t>
      </w:r>
      <w:r w:rsidRPr="002B6A9A">
        <w:rPr>
          <w:rFonts w:ascii="Times New Roman" w:hAnsi="Times New Roman" w:cs="Times New Roman"/>
          <w:sz w:val="24"/>
          <w:szCs w:val="24"/>
        </w:rPr>
        <w:t xml:space="preserve"> </w:t>
      </w:r>
      <w:r w:rsidRPr="002B6A9A">
        <w:rPr>
          <w:rFonts w:ascii="Times New Roman" w:hAnsi="Times New Roman" w:cs="Times New Roman"/>
          <w:i/>
          <w:sz w:val="24"/>
          <w:szCs w:val="24"/>
        </w:rPr>
        <w:t>Quarterly, 35</w:t>
      </w:r>
      <w:r w:rsidRPr="002B6A9A">
        <w:rPr>
          <w:rFonts w:ascii="Times New Roman" w:hAnsi="Times New Roman" w:cs="Times New Roman"/>
          <w:sz w:val="24"/>
          <w:szCs w:val="24"/>
        </w:rPr>
        <w:t xml:space="preserve">(1), 151-170. DOI: 10.2307/3587863 </w:t>
      </w:r>
    </w:p>
    <w:p w:rsidR="009E472F" w:rsidRPr="002B6A9A" w:rsidRDefault="009E472F" w:rsidP="002B6A9A">
      <w:pPr>
        <w:tabs>
          <w:tab w:val="left" w:pos="9360"/>
        </w:tabs>
        <w:spacing w:line="240" w:lineRule="auto"/>
        <w:ind w:left="720" w:hanging="720"/>
      </w:pPr>
    </w:p>
    <w:p w:rsidR="009E472F" w:rsidRPr="002B6A9A" w:rsidRDefault="009E472F" w:rsidP="002B6A9A">
      <w:pPr>
        <w:tabs>
          <w:tab w:val="left" w:pos="9360"/>
        </w:tabs>
        <w:spacing w:line="240" w:lineRule="auto"/>
        <w:ind w:left="720" w:hanging="720"/>
      </w:pPr>
      <w:r w:rsidRPr="002B6A9A">
        <w:t xml:space="preserve">Ioup, G. (2005). Age in second language development.  In E. Hinkel (Ed.), </w:t>
      </w:r>
      <w:r w:rsidRPr="002B6A9A">
        <w:rPr>
          <w:i/>
          <w:iCs/>
        </w:rPr>
        <w:t xml:space="preserve">Handbook of research in second language teaching and learning </w:t>
      </w:r>
      <w:r w:rsidRPr="002B6A9A">
        <w:t>(pp. 419-435). Mahwah, NJ: Lawrence Erlbaum Associates.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Ioup, G., Boustagui, E., El Tigi, M., &amp; Moselle, M. (1994). Reexamining the critical period hypothesis: A case study of successful adult SLA in a naturalistic environment. </w:t>
      </w:r>
      <w:r w:rsidRPr="002B6A9A">
        <w:rPr>
          <w:rFonts w:ascii="Times New Roman" w:hAnsi="Times New Roman" w:cs="Times New Roman"/>
          <w:i/>
          <w:sz w:val="24"/>
          <w:szCs w:val="24"/>
        </w:rPr>
        <w:t>Studies in Second Langugae Acquisitoin, 16</w:t>
      </w:r>
      <w:r w:rsidRPr="002B6A9A">
        <w:rPr>
          <w:rFonts w:ascii="Times New Roman" w:hAnsi="Times New Roman" w:cs="Times New Roman"/>
          <w:sz w:val="24"/>
          <w:szCs w:val="24"/>
        </w:rPr>
        <w:t xml:space="preserve">(1), 73-98. DOI: 10.1017/s0272263100012596 </w:t>
      </w:r>
    </w:p>
    <w:p w:rsidR="009E472F" w:rsidRPr="002B6A9A" w:rsidRDefault="009E472F" w:rsidP="002B6A9A">
      <w:pPr>
        <w:spacing w:after="0" w:line="240" w:lineRule="auto"/>
        <w:ind w:left="720" w:hanging="720"/>
        <w:rPr>
          <w:bCs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bCs/>
        </w:rPr>
      </w:pPr>
      <w:r w:rsidRPr="002B6A9A">
        <w:rPr>
          <w:bCs/>
        </w:rPr>
        <w:t xml:space="preserve">Itard, J, M.-G. (1962). </w:t>
      </w:r>
      <w:r w:rsidRPr="002B6A9A">
        <w:rPr>
          <w:bCs/>
          <w:i/>
        </w:rPr>
        <w:t>The wild boy of Aveyron (L’Enfant savage).</w:t>
      </w:r>
      <w:r w:rsidRPr="002B6A9A">
        <w:rPr>
          <w:bCs/>
        </w:rPr>
        <w:t xml:space="preserve"> New York, NY: Meredith. </w:t>
      </w:r>
    </w:p>
    <w:p w:rsidR="009E472F" w:rsidRPr="002B6A9A" w:rsidRDefault="009E472F" w:rsidP="002B6A9A">
      <w:pPr>
        <w:autoSpaceDE w:val="0"/>
        <w:adjustRightInd w:val="0"/>
        <w:spacing w:after="0" w:line="240" w:lineRule="auto"/>
        <w:ind w:left="720" w:hanging="720"/>
        <w:rPr>
          <w:bCs/>
        </w:rPr>
      </w:pPr>
    </w:p>
    <w:p w:rsidR="009E472F" w:rsidRPr="002B6A9A" w:rsidRDefault="009E472F" w:rsidP="002B6A9A">
      <w:pPr>
        <w:autoSpaceDE w:val="0"/>
        <w:adjustRightInd w:val="0"/>
        <w:spacing w:after="0" w:line="240" w:lineRule="auto"/>
        <w:ind w:left="720" w:hanging="720"/>
        <w:rPr>
          <w:bCs/>
        </w:rPr>
      </w:pPr>
      <w:r w:rsidRPr="002B6A9A">
        <w:rPr>
          <w:bCs/>
        </w:rPr>
        <w:t>Johnson, J. S. (1992). Critical period effects in second language acquisition: The effect of written versus auditory materials on the assessment of grammatical competence</w:t>
      </w:r>
      <w:r w:rsidRPr="002B6A9A">
        <w:rPr>
          <w:bCs/>
          <w:i/>
        </w:rPr>
        <w:t>. Language Learning, 42</w:t>
      </w:r>
      <w:r w:rsidRPr="002B6A9A">
        <w:rPr>
          <w:bCs/>
        </w:rPr>
        <w:t>, 217-248.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lastRenderedPageBreak/>
        <w:t xml:space="preserve">Johnson, J. S., &amp; Newport, E. L. (1989). Critical period effects in second language learning: The influence of maturational state on the acquisition of English as a second language. </w:t>
      </w:r>
      <w:r w:rsidRPr="002B6A9A">
        <w:rPr>
          <w:i/>
          <w:noProof/>
        </w:rPr>
        <w:t>Cognitive Psychology, 21</w:t>
      </w:r>
      <w:r w:rsidRPr="002B6A9A">
        <w:rPr>
          <w:noProof/>
        </w:rPr>
        <w:t>(1), 60-99.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Johnson, J. S., &amp; Newport, E. L. (1991). Critical period effects on universal properties of language: The status of subjacency in the acquisition of a second language. </w:t>
      </w:r>
      <w:r w:rsidRPr="002B6A9A">
        <w:rPr>
          <w:i/>
          <w:noProof/>
        </w:rPr>
        <w:t>Cognition, 39</w:t>
      </w:r>
      <w:r w:rsidRPr="002B6A9A">
        <w:rPr>
          <w:noProof/>
        </w:rPr>
        <w:t>(3), 215-258.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Kim, R. (1993). A sensitive period for second language acquisition: A reaction time grammaticality judgment task with Korean-English bilinguals. </w:t>
      </w:r>
      <w:r w:rsidRPr="002B6A9A">
        <w:rPr>
          <w:i/>
        </w:rPr>
        <w:t xml:space="preserve">Issues and Developments in English and Applied Linguistics, 6, </w:t>
      </w:r>
      <w:r w:rsidRPr="002B6A9A">
        <w:t>15-28.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Klein, W. (1995). Language acquisition at different ages. In D. Magnusson (Ed.), </w:t>
      </w:r>
      <w:r w:rsidRPr="002B6A9A">
        <w:rPr>
          <w:i/>
          <w:iCs/>
        </w:rPr>
        <w:t xml:space="preserve">The lifespan development of individuals: Behavioral, neurobiological, and psychosocial perspectives. A synthesis </w:t>
      </w:r>
      <w:r w:rsidRPr="002B6A9A">
        <w:rPr>
          <w:iCs/>
        </w:rPr>
        <w:t>(</w:t>
      </w:r>
      <w:r w:rsidRPr="002B6A9A">
        <w:t>pp. 244-264). Cambridge, UK: Cambridge University Press.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Krashen, S. D., &amp; Harshman, R. (1972). Lateralization and the critical period. </w:t>
      </w:r>
      <w:r w:rsidRPr="002B6A9A">
        <w:rPr>
          <w:i/>
        </w:rPr>
        <w:t>UCLA Working Papers in Phonetics, 23,</w:t>
      </w:r>
      <w:r w:rsidRPr="002B6A9A">
        <w:t xml:space="preserve"> 13-21.</w:t>
      </w:r>
    </w:p>
    <w:p w:rsidR="009E472F" w:rsidRPr="002B6A9A" w:rsidRDefault="009E472F" w:rsidP="002B6A9A">
      <w:pPr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Krashen, S.D., Long, M.A., &amp; Scarcella, R.C. (1979). Age, rate, and eventual attainment </w:t>
      </w:r>
      <w:r w:rsidRPr="002B6A9A">
        <w:tab/>
        <w:t xml:space="preserve">in second language acquisition. </w:t>
      </w:r>
      <w:r w:rsidRPr="002B6A9A">
        <w:rPr>
          <w:i/>
        </w:rPr>
        <w:t>TESOL Quarterly, 13</w:t>
      </w:r>
      <w:r w:rsidRPr="002B6A9A">
        <w:t>, 573-582.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Larson-Hall, J. (2008). Weighing the benefits of studying a foreign language at a younger starting age in a minimal input situation. </w:t>
      </w:r>
      <w:r w:rsidRPr="002B6A9A">
        <w:rPr>
          <w:i/>
          <w:noProof/>
        </w:rPr>
        <w:t>Second Language Research, 24</w:t>
      </w:r>
      <w:r w:rsidRPr="002B6A9A">
        <w:rPr>
          <w:noProof/>
        </w:rPr>
        <w:t>(1), 1-35.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Lasagabaster, D., &amp; Doiz, A. (2003). Maturational constraints on foreign-language written production. In M. P. Garcı́a Mayo &amp; M. L. Garcı́a Lecumberri (Eds.), </w:t>
      </w:r>
      <w:r w:rsidRPr="002B6A9A">
        <w:rPr>
          <w:i/>
          <w:noProof/>
        </w:rPr>
        <w:t>Age and the acquisition of English as a foreign language</w:t>
      </w:r>
      <w:r w:rsidRPr="002B6A9A">
        <w:rPr>
          <w:noProof/>
        </w:rPr>
        <w:t xml:space="preserve"> (pp. 136–160). Clevedon: Multilingual Matters Ltd.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Li, S.-C., Lindenberger, U., &amp; Sikström, S. (2001). Aging cognition: From neuromodulation to representation. </w:t>
      </w:r>
      <w:r w:rsidRPr="002B6A9A">
        <w:rPr>
          <w:i/>
          <w:iCs/>
        </w:rPr>
        <w:t>Trends in Cognitive Sciences</w:t>
      </w:r>
      <w:r w:rsidRPr="002B6A9A">
        <w:t xml:space="preserve">, </w:t>
      </w:r>
      <w:r w:rsidRPr="002B6A9A">
        <w:rPr>
          <w:i/>
          <w:iCs/>
        </w:rPr>
        <w:t>5</w:t>
      </w:r>
      <w:r w:rsidRPr="002B6A9A">
        <w:rPr>
          <w:iCs/>
        </w:rPr>
        <w:t>(11)</w:t>
      </w:r>
      <w:r w:rsidRPr="002B6A9A">
        <w:t>, 479-486.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Liberman, I. Y., Shankweiler, D., Fischer, F. W., &amp; Carter, B. (1974). Explicit syllable and phoneme segmentation in the young child. </w:t>
      </w:r>
      <w:r w:rsidRPr="002B6A9A">
        <w:rPr>
          <w:rFonts w:ascii="Times New Roman" w:hAnsi="Times New Roman" w:cs="Times New Roman"/>
          <w:i/>
          <w:sz w:val="24"/>
          <w:szCs w:val="24"/>
        </w:rPr>
        <w:t>Journal of Experimental Child Psychology, 18</w:t>
      </w:r>
      <w:r w:rsidRPr="002B6A9A">
        <w:rPr>
          <w:rFonts w:ascii="Times New Roman" w:hAnsi="Times New Roman" w:cs="Times New Roman"/>
          <w:sz w:val="24"/>
          <w:szCs w:val="24"/>
        </w:rPr>
        <w:t xml:space="preserve">(2), 201-212. DOI: 10.1016/0022-0965(74)90101-5 </w:t>
      </w: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Long, M. (2005). Problems with supposed counter-evidence to the critical period hypothesis. </w:t>
      </w:r>
      <w:r w:rsidRPr="002B6A9A">
        <w:rPr>
          <w:i/>
          <w:noProof/>
        </w:rPr>
        <w:t>International Review of Applied Linguistics in Language Teaching, 43</w:t>
      </w:r>
      <w:r w:rsidRPr="002B6A9A">
        <w:rPr>
          <w:noProof/>
        </w:rPr>
        <w:t>(4), 287-317.</w:t>
      </w:r>
    </w:p>
    <w:p w:rsidR="009E472F" w:rsidRPr="002B6A9A" w:rsidRDefault="009E472F" w:rsidP="002B6A9A">
      <w:pPr>
        <w:spacing w:line="240" w:lineRule="auto"/>
        <w:ind w:left="720" w:hanging="720"/>
      </w:pPr>
    </w:p>
    <w:p w:rsidR="009E472F" w:rsidRPr="002B6A9A" w:rsidRDefault="009E472F" w:rsidP="002B6A9A">
      <w:pPr>
        <w:spacing w:line="240" w:lineRule="auto"/>
        <w:ind w:left="720" w:hanging="720"/>
      </w:pPr>
      <w:r w:rsidRPr="002B6A9A">
        <w:t xml:space="preserve">Long, M. (2013). Maturational constraints on child and adult SLA. In G. Granena &amp; M. Long (Eds.), </w:t>
      </w:r>
      <w:r w:rsidRPr="002B6A9A">
        <w:rPr>
          <w:i/>
          <w:iCs/>
        </w:rPr>
        <w:t>Sensitive periods, language aptitude, and ultimate L2 attainment</w:t>
      </w:r>
      <w:r w:rsidRPr="002B6A9A">
        <w:t xml:space="preserve"> (pp. 3-41). Philadelphia, PA: John Benjamins. 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lastRenderedPageBreak/>
        <w:t xml:space="preserve">Long, M. (2013). Some implications of research findings on sensitive periods in language learning for educational policy and practice. In G. Granena &amp; M. Long (Eds.), </w:t>
      </w:r>
      <w:r w:rsidRPr="002B6A9A">
        <w:rPr>
          <w:i/>
          <w:iCs/>
        </w:rPr>
        <w:t>Sensitive periods, language aptitude, and ultimate L2 attainment</w:t>
      </w:r>
      <w:r w:rsidRPr="002B6A9A">
        <w:t xml:space="preserve"> (pp. 259-271). Philadelphia, PA: John Benjamins.</w:t>
      </w:r>
    </w:p>
    <w:p w:rsidR="00C533B1" w:rsidRPr="002B6A9A" w:rsidRDefault="00C533B1" w:rsidP="002B6A9A">
      <w:pPr>
        <w:autoSpaceDE w:val="0"/>
        <w:autoSpaceDN w:val="0"/>
        <w:adjustRightInd w:val="0"/>
        <w:spacing w:after="0" w:line="240" w:lineRule="auto"/>
        <w:ind w:left="720" w:hanging="720"/>
      </w:pPr>
      <w:bookmarkStart w:id="5" w:name="_Hlk525364759"/>
    </w:p>
    <w:p w:rsidR="00E01CC3" w:rsidRPr="002B6A9A" w:rsidRDefault="00C533B1" w:rsidP="002B6A9A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B6A9A">
        <w:t>Lundell</w:t>
      </w:r>
      <w:proofErr w:type="spellEnd"/>
      <w:r w:rsidRPr="002B6A9A">
        <w:t xml:space="preserve">, F. F., &amp; </w:t>
      </w:r>
      <w:proofErr w:type="spellStart"/>
      <w:r w:rsidRPr="002B6A9A">
        <w:t>Sandgren</w:t>
      </w:r>
      <w:proofErr w:type="spellEnd"/>
      <w:r w:rsidRPr="002B6A9A">
        <w:t xml:space="preserve">, M. (2013). High-level proficiency in late L2 acquisition: Relationships between collocational production, language aptitude and personality. In G. </w:t>
      </w:r>
      <w:proofErr w:type="spellStart"/>
      <w:r w:rsidRPr="002B6A9A">
        <w:t>Granena</w:t>
      </w:r>
      <w:proofErr w:type="spellEnd"/>
      <w:r w:rsidRPr="002B6A9A">
        <w:t xml:space="preserve"> &amp; M. Long (Eds.), </w:t>
      </w:r>
      <w:r w:rsidRPr="002B6A9A">
        <w:rPr>
          <w:i/>
          <w:iCs/>
        </w:rPr>
        <w:t>Sensitive periods, language aptitude, and ultimate L2 attainment</w:t>
      </w:r>
      <w:r w:rsidRPr="002B6A9A">
        <w:t xml:space="preserve"> (pp. 231-258). Philadelphia, PA: John </w:t>
      </w:r>
      <w:proofErr w:type="spellStart"/>
      <w:r w:rsidRPr="002B6A9A">
        <w:t>Benjamins</w:t>
      </w:r>
      <w:proofErr w:type="spellEnd"/>
      <w:r w:rsidRPr="002B6A9A">
        <w:t>.</w:t>
      </w:r>
      <w:bookmarkEnd w:id="5"/>
      <w:r w:rsidRPr="002B6A9A">
        <w:t xml:space="preserve">  </w:t>
      </w:r>
    </w:p>
    <w:p w:rsidR="00C533B1" w:rsidRPr="002B6A9A" w:rsidRDefault="00C533B1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B6A9A">
        <w:t>Lupien</w:t>
      </w:r>
      <w:proofErr w:type="spellEnd"/>
      <w:r w:rsidRPr="002B6A9A">
        <w:t xml:space="preserve">, S. J., de Leon, M., De Santi, S., Convit, A., Tarshish, C., Nair, N. P. V. &amp; Meaney, M. J. (1998). Cortisol levels during human aging predict hippocampal atrophy and memory deficits. </w:t>
      </w:r>
      <w:r w:rsidRPr="002B6A9A">
        <w:rPr>
          <w:i/>
          <w:iCs/>
        </w:rPr>
        <w:t>Nature Neuroscience</w:t>
      </w:r>
      <w:r w:rsidRPr="002B6A9A">
        <w:t xml:space="preserve">, </w:t>
      </w:r>
      <w:r w:rsidRPr="002B6A9A">
        <w:rPr>
          <w:i/>
          <w:iCs/>
        </w:rPr>
        <w:t>1</w:t>
      </w:r>
      <w:r w:rsidRPr="002B6A9A">
        <w:t>(1), 69-73.</w:t>
      </w:r>
    </w:p>
    <w:p w:rsidR="009E472F" w:rsidRPr="002B6A9A" w:rsidRDefault="009E472F" w:rsidP="002B6A9A">
      <w:pPr>
        <w:tabs>
          <w:tab w:val="left" w:pos="-720"/>
        </w:tabs>
        <w:spacing w:after="0" w:line="240" w:lineRule="auto"/>
        <w:ind w:left="720" w:hanging="720"/>
        <w:rPr>
          <w:rFonts w:eastAsia="Times New Roman"/>
        </w:rPr>
      </w:pPr>
    </w:p>
    <w:p w:rsidR="009E472F" w:rsidRPr="002B6A9A" w:rsidRDefault="009E472F" w:rsidP="002B6A9A">
      <w:pPr>
        <w:tabs>
          <w:tab w:val="left" w:pos="-720"/>
        </w:tabs>
        <w:spacing w:after="0" w:line="240" w:lineRule="auto"/>
        <w:ind w:left="720" w:hanging="720"/>
        <w:rPr>
          <w:rFonts w:eastAsia="Times New Roman"/>
        </w:rPr>
      </w:pPr>
      <w:r w:rsidRPr="002B6A9A">
        <w:rPr>
          <w:rFonts w:eastAsia="Times New Roman"/>
        </w:rPr>
        <w:t xml:space="preserve">Lupien, S., Lecours, A. R., Lussier, I., Schwartz, G., Nair, N. P., &amp; Meaney, M. J. (1994). Basal cortisol levels and cognitive deficits in human aging. </w:t>
      </w:r>
      <w:r w:rsidRPr="002B6A9A">
        <w:rPr>
          <w:rFonts w:eastAsia="Times New Roman"/>
          <w:i/>
          <w:iCs/>
        </w:rPr>
        <w:t>The Journal of Neuroscience</w:t>
      </w:r>
      <w:r w:rsidRPr="002B6A9A">
        <w:rPr>
          <w:rFonts w:eastAsia="Times New Roman"/>
        </w:rPr>
        <w:t xml:space="preserve">, </w:t>
      </w:r>
      <w:r w:rsidRPr="002B6A9A">
        <w:rPr>
          <w:rFonts w:eastAsia="Times New Roman"/>
          <w:i/>
          <w:iCs/>
        </w:rPr>
        <w:t>14</w:t>
      </w:r>
      <w:r w:rsidRPr="002B6A9A">
        <w:rPr>
          <w:rFonts w:eastAsia="Times New Roman"/>
        </w:rPr>
        <w:t>(5), 2893-2903.</w:t>
      </w: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Macaro, E., &amp; Lee, J. H. (2013). Teacher language background, codeswitching, and English-only instruction: Does age make a difference to learners’ attitudes? </w:t>
      </w:r>
      <w:r w:rsidRPr="002B6A9A">
        <w:rPr>
          <w:i/>
        </w:rPr>
        <w:t>TESOL Quarterly, 47</w:t>
      </w:r>
      <w:r w:rsidRPr="002B6A9A">
        <w:t>(4), 717-742.</w:t>
      </w: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</w:rPr>
      </w:pPr>
      <w:r w:rsidRPr="002B6A9A">
        <w:rPr>
          <w:rFonts w:eastAsia="Times New Roman"/>
        </w:rPr>
        <w:t xml:space="preserve">Mack, M., Bott, S., &amp; Boronat, C. B. (1995). Mother, I'd rather do it myself, maybe: An analysis of voice-onset time produced by early French-English bilinguals. </w:t>
      </w:r>
      <w:r w:rsidRPr="002B6A9A">
        <w:rPr>
          <w:rFonts w:eastAsia="Times New Roman"/>
          <w:i/>
          <w:iCs/>
        </w:rPr>
        <w:t>Issues and Developments in English and Applied Linguistics (IDEAL)</w:t>
      </w:r>
      <w:r w:rsidRPr="002B6A9A">
        <w:rPr>
          <w:rFonts w:eastAsia="Times New Roman"/>
        </w:rPr>
        <w:t xml:space="preserve">, </w:t>
      </w:r>
      <w:r w:rsidRPr="002B6A9A">
        <w:rPr>
          <w:rFonts w:eastAsia="Times New Roman"/>
          <w:i/>
        </w:rPr>
        <w:t>28</w:t>
      </w:r>
      <w:r w:rsidRPr="002B6A9A">
        <w:rPr>
          <w:rFonts w:eastAsia="Times New Roman"/>
        </w:rPr>
        <w:t xml:space="preserve">, </w:t>
      </w:r>
      <w:r w:rsidRPr="002B6A9A">
        <w:t>23-55.</w:t>
      </w:r>
    </w:p>
    <w:p w:rsidR="00E01CC3" w:rsidRPr="002B6A9A" w:rsidRDefault="00E01CC3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MacKay, I. R. A., &amp; Flege, J. E. (2004). Effects of the age of second language learning on the duration of first and second language sentences: The role of suppression. </w:t>
      </w:r>
      <w:r w:rsidRPr="002B6A9A">
        <w:rPr>
          <w:rFonts w:ascii="Times New Roman" w:hAnsi="Times New Roman" w:cs="Times New Roman"/>
          <w:i/>
          <w:sz w:val="24"/>
          <w:szCs w:val="24"/>
        </w:rPr>
        <w:t>Applied Psycholinguistics, 25</w:t>
      </w:r>
      <w:r w:rsidRPr="002B6A9A">
        <w:rPr>
          <w:rFonts w:ascii="Times New Roman" w:hAnsi="Times New Roman" w:cs="Times New Roman"/>
          <w:sz w:val="24"/>
          <w:szCs w:val="24"/>
        </w:rPr>
        <w:t xml:space="preserve">(3), 373-396. DOI: 10.1017/s0142716404001171 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Marinova-Todd, S., Marshall, D., &amp; Snow, C. (2000). Three misconceptions about age and L2 learning. </w:t>
      </w:r>
      <w:r w:rsidRPr="002B6A9A">
        <w:rPr>
          <w:i/>
          <w:noProof/>
        </w:rPr>
        <w:t>TESOL Quarterly, 34</w:t>
      </w:r>
      <w:r w:rsidRPr="002B6A9A">
        <w:rPr>
          <w:noProof/>
        </w:rPr>
        <w:t>(1), 9-34.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McDonald, J. L. (2000). Grammaticality judgments in a second language: Influences of age of acquisition and native language. </w:t>
      </w:r>
      <w:r w:rsidRPr="002B6A9A">
        <w:rPr>
          <w:i/>
        </w:rPr>
        <w:t>Applied Psycholinguistics, 21</w:t>
      </w:r>
      <w:r w:rsidRPr="002B6A9A">
        <w:t>, 395-423.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>McDonald, J. L. (2006). Beyond the critical period: Processing-based explanations for poor grammaticality judgment performance by late second language learners</w:t>
      </w:r>
      <w:r w:rsidRPr="002B6A9A">
        <w:rPr>
          <w:i/>
        </w:rPr>
        <w:t>.</w:t>
      </w:r>
      <w:r w:rsidRPr="002B6A9A">
        <w:rPr>
          <w:i/>
          <w:iCs/>
        </w:rPr>
        <w:t xml:space="preserve"> Journal of Memory and Language, 55</w:t>
      </w:r>
      <w:r w:rsidRPr="002B6A9A">
        <w:rPr>
          <w:i/>
        </w:rPr>
        <w:t>,</w:t>
      </w:r>
      <w:r w:rsidRPr="002B6A9A">
        <w:t xml:space="preserve"> 381-401.</w:t>
      </w:r>
    </w:p>
    <w:p w:rsidR="00E01CC3" w:rsidRPr="002B6A9A" w:rsidRDefault="00E01CC3" w:rsidP="002B6A9A">
      <w:pPr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Montrul, S. A. (2008). </w:t>
      </w:r>
      <w:r w:rsidRPr="002B6A9A">
        <w:rPr>
          <w:i/>
        </w:rPr>
        <w:t>Incomplete acquisition in bilingualism: Re-examining the age factor.</w:t>
      </w:r>
      <w:r w:rsidRPr="002B6A9A">
        <w:t xml:space="preserve"> Amsterdam, The Netherlands: John Benjamins.  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Montrul, S., Foote, R., &amp; Perpiñán, S. (2008). Gender agreement in adult second language learners and Spanish heritage speakers: The effects of age and context of acquisition. </w:t>
      </w:r>
      <w:r w:rsidRPr="002B6A9A">
        <w:rPr>
          <w:i/>
          <w:noProof/>
        </w:rPr>
        <w:t>Language Learning, 58</w:t>
      </w:r>
      <w:r w:rsidRPr="002B6A9A">
        <w:rPr>
          <w:noProof/>
        </w:rPr>
        <w:t>(3), 503-553.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lastRenderedPageBreak/>
        <w:t xml:space="preserve">Moyer, A. (2004). </w:t>
      </w:r>
      <w:r w:rsidRPr="002B6A9A">
        <w:rPr>
          <w:i/>
          <w:iCs/>
        </w:rPr>
        <w:t>Age, accent and experience in second language acquisition</w:t>
      </w:r>
      <w:r w:rsidRPr="002B6A9A">
        <w:t>. Clevedon, UK: Multilingual Matters.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Muñoz, C. (2003). Variation in oral skills development and age of onset. In M. P. Garcı́a Mayo &amp; M. L. Garcı́a Lecumberri (Eds.), </w:t>
      </w:r>
      <w:r w:rsidRPr="002B6A9A">
        <w:rPr>
          <w:i/>
          <w:noProof/>
        </w:rPr>
        <w:t>Age and the acquisition of English as a foreign language</w:t>
      </w:r>
      <w:r w:rsidRPr="002B6A9A">
        <w:rPr>
          <w:noProof/>
        </w:rPr>
        <w:t xml:space="preserve"> (pp. 161-181). Clevedon: Multilingual Matters Ltd.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Muñoz, C. (2006). The effects of age on foreign language learning: The BAF project. In C. Muñoz (Ed.), </w:t>
      </w:r>
      <w:r w:rsidRPr="002B6A9A">
        <w:rPr>
          <w:i/>
          <w:noProof/>
        </w:rPr>
        <w:t>Age and the rate of foreign language learning</w:t>
      </w:r>
      <w:r w:rsidRPr="002B6A9A">
        <w:rPr>
          <w:noProof/>
        </w:rPr>
        <w:t xml:space="preserve"> (pp. 1-40). Clevedon: Multilingual Matters Ltd.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Muñoz, C. (2008). Age-related differences in foreign language learning. Revisiting the empirical evidence. </w:t>
      </w:r>
      <w:r w:rsidRPr="002B6A9A">
        <w:rPr>
          <w:i/>
          <w:iCs/>
        </w:rPr>
        <w:t>International Review of Applied Linguistics in Language Teaching</w:t>
      </w:r>
      <w:r w:rsidRPr="002B6A9A">
        <w:rPr>
          <w:i/>
        </w:rPr>
        <w:t xml:space="preserve">, </w:t>
      </w:r>
      <w:r w:rsidRPr="002B6A9A">
        <w:rPr>
          <w:i/>
          <w:iCs/>
        </w:rPr>
        <w:t>46</w:t>
      </w:r>
      <w:r w:rsidRPr="002B6A9A">
        <w:t xml:space="preserve">, 197-220. </w:t>
      </w:r>
    </w:p>
    <w:p w:rsidR="00E01CC3" w:rsidRPr="002B6A9A" w:rsidRDefault="00E01CC3" w:rsidP="002B6A9A">
      <w:pPr>
        <w:spacing w:after="0" w:line="240" w:lineRule="auto"/>
        <w:ind w:left="720" w:hanging="720"/>
        <w:rPr>
          <w:bCs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bCs/>
          <w:iCs/>
        </w:rPr>
      </w:pPr>
      <w:r w:rsidRPr="002B6A9A">
        <w:rPr>
          <w:bCs/>
        </w:rPr>
        <w:t xml:space="preserve">Muñoz, C. (2011). Input and long-term effects of starting age in foreign language learning. </w:t>
      </w:r>
      <w:r w:rsidRPr="002B6A9A">
        <w:rPr>
          <w:bCs/>
          <w:i/>
          <w:iCs/>
        </w:rPr>
        <w:t>International Review of Applied Linguistics in Language Teaching,</w:t>
      </w:r>
      <w:r w:rsidRPr="002B6A9A">
        <w:rPr>
          <w:bCs/>
          <w:i/>
        </w:rPr>
        <w:t xml:space="preserve"> </w:t>
      </w:r>
      <w:r w:rsidRPr="002B6A9A">
        <w:rPr>
          <w:bCs/>
          <w:i/>
          <w:iCs/>
        </w:rPr>
        <w:t>71</w:t>
      </w:r>
      <w:r w:rsidRPr="002B6A9A">
        <w:rPr>
          <w:bCs/>
          <w:iCs/>
        </w:rPr>
        <w:t xml:space="preserve">, 197-220. 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Muñoz, C. (Ed.). (2006). </w:t>
      </w:r>
      <w:r w:rsidRPr="002B6A9A">
        <w:rPr>
          <w:i/>
          <w:noProof/>
        </w:rPr>
        <w:t>Age and the rate of foreign language learning</w:t>
      </w:r>
      <w:r w:rsidRPr="002B6A9A">
        <w:rPr>
          <w:noProof/>
        </w:rPr>
        <w:t>. Clevedon: Multilingual Matters Ltd.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Muñoz, C., &amp; Singleton, D. (2007). Foreign accent in advanced learners: Two successful profiles. </w:t>
      </w:r>
      <w:r w:rsidRPr="002B6A9A">
        <w:rPr>
          <w:i/>
          <w:iCs/>
        </w:rPr>
        <w:t>The EUROL2A Yearbook</w:t>
      </w:r>
      <w:r w:rsidRPr="002B6A9A">
        <w:rPr>
          <w:i/>
        </w:rPr>
        <w:t xml:space="preserve">, </w:t>
      </w:r>
      <w:r w:rsidRPr="002B6A9A">
        <w:rPr>
          <w:i/>
          <w:iCs/>
        </w:rPr>
        <w:t>7</w:t>
      </w:r>
      <w:r w:rsidRPr="002B6A9A">
        <w:rPr>
          <w:i/>
        </w:rPr>
        <w:t xml:space="preserve">, </w:t>
      </w:r>
      <w:r w:rsidRPr="002B6A9A">
        <w:t>171-190.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rFonts w:eastAsia="Times New Roman"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</w:rPr>
      </w:pPr>
      <w:r w:rsidRPr="002B6A9A">
        <w:rPr>
          <w:rFonts w:eastAsia="Times New Roman"/>
        </w:rPr>
        <w:t xml:space="preserve">Munro, M. J., Flege, J. E., &amp; MacKay, I. R. (1996). The effects of age of second language learning on the production of English vowels. </w:t>
      </w:r>
      <w:r w:rsidRPr="002B6A9A">
        <w:rPr>
          <w:rFonts w:eastAsia="Times New Roman"/>
          <w:i/>
          <w:iCs/>
        </w:rPr>
        <w:t>Applied Psycholinguistics</w:t>
      </w:r>
      <w:r w:rsidRPr="002B6A9A">
        <w:rPr>
          <w:rFonts w:eastAsia="Times New Roman"/>
        </w:rPr>
        <w:t xml:space="preserve">, </w:t>
      </w:r>
      <w:r w:rsidRPr="002B6A9A">
        <w:rPr>
          <w:rFonts w:eastAsia="Times New Roman"/>
          <w:i/>
          <w:iCs/>
        </w:rPr>
        <w:t>17</w:t>
      </w:r>
      <w:r w:rsidRPr="002B6A9A">
        <w:rPr>
          <w:rFonts w:eastAsia="Times New Roman"/>
        </w:rPr>
        <w:t>(03), 313-334.</w:t>
      </w:r>
    </w:p>
    <w:p w:rsidR="00E01CC3" w:rsidRPr="002B6A9A" w:rsidRDefault="00E01CC3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Munro, M., &amp; Mann, V. (2005). Age of immersion as a predictor of foreign accent. </w:t>
      </w:r>
      <w:r w:rsidRPr="002B6A9A">
        <w:rPr>
          <w:rFonts w:ascii="Times New Roman" w:hAnsi="Times New Roman" w:cs="Times New Roman"/>
          <w:i/>
          <w:sz w:val="24"/>
          <w:szCs w:val="24"/>
        </w:rPr>
        <w:t>Applied Psycholinguistics, 26</w:t>
      </w:r>
      <w:r w:rsidRPr="002B6A9A">
        <w:rPr>
          <w:rFonts w:ascii="Times New Roman" w:hAnsi="Times New Roman" w:cs="Times New Roman"/>
          <w:sz w:val="24"/>
          <w:szCs w:val="24"/>
        </w:rPr>
        <w:t xml:space="preserve">(3), 311-341. DOI: 10.1017/s0142716405050198 </w:t>
      </w:r>
    </w:p>
    <w:p w:rsidR="00E01CC3" w:rsidRPr="002B6A9A" w:rsidRDefault="00E01CC3" w:rsidP="002B6A9A">
      <w:pPr>
        <w:spacing w:after="0" w:line="240" w:lineRule="auto"/>
        <w:ind w:left="720" w:hanging="720"/>
        <w:rPr>
          <w:bCs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bCs/>
        </w:rPr>
      </w:pPr>
      <w:r w:rsidRPr="002B6A9A">
        <w:rPr>
          <w:bCs/>
        </w:rPr>
        <w:t>Navés, T., Torras, M. R., &amp; Celaya, M. (2003). Long-term effects of an earlier start: An analysis of EFL written production.</w:t>
      </w:r>
      <w:r w:rsidRPr="002B6A9A">
        <w:rPr>
          <w:bCs/>
          <w:iCs/>
        </w:rPr>
        <w:t xml:space="preserve"> </w:t>
      </w:r>
      <w:r w:rsidRPr="002B6A9A">
        <w:rPr>
          <w:bCs/>
          <w:i/>
          <w:iCs/>
        </w:rPr>
        <w:t>EUROSLA Yearbook, 3,</w:t>
      </w:r>
      <w:r w:rsidRPr="002B6A9A">
        <w:rPr>
          <w:bCs/>
        </w:rPr>
        <w:t xml:space="preserve"> 103-129.</w:t>
      </w:r>
    </w:p>
    <w:p w:rsidR="00E01CC3" w:rsidRPr="002B6A9A" w:rsidRDefault="00E01CC3" w:rsidP="002B6A9A">
      <w:pPr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Neufeld, G. (1978). On the acquisition of prosodic and articulatory features in adult language learning. </w:t>
      </w:r>
      <w:r w:rsidRPr="002B6A9A">
        <w:rPr>
          <w:i/>
        </w:rPr>
        <w:t>Canadian Modern Language Review</w:t>
      </w:r>
      <w:r w:rsidRPr="002B6A9A">
        <w:t xml:space="preserve">, </w:t>
      </w:r>
      <w:r w:rsidRPr="002B6A9A">
        <w:rPr>
          <w:i/>
        </w:rPr>
        <w:t>34</w:t>
      </w:r>
      <w:r w:rsidRPr="002B6A9A">
        <w:t>(2), 163-74.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Nikolov, M. (2009). The age factor in context. In M. Nikolov (Ed.), </w:t>
      </w:r>
      <w:r w:rsidRPr="002B6A9A">
        <w:rPr>
          <w:i/>
          <w:noProof/>
        </w:rPr>
        <w:t>The age factor and early language learning</w:t>
      </w:r>
      <w:r w:rsidRPr="002B6A9A">
        <w:rPr>
          <w:noProof/>
        </w:rPr>
        <w:t xml:space="preserve"> (pp. 1-38). Berlin: Mouton de Gruyter.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E01CC3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Nikolov, M. (Ed.). (2009b). </w:t>
      </w:r>
      <w:r w:rsidRPr="002B6A9A">
        <w:rPr>
          <w:i/>
          <w:noProof/>
        </w:rPr>
        <w:t>The age factor and early language learning</w:t>
      </w:r>
      <w:r w:rsidRPr="002B6A9A">
        <w:rPr>
          <w:noProof/>
        </w:rPr>
        <w:t>. Berlin: Mouton de Gruyter.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t xml:space="preserve">Nikolov, M., &amp; Djigunovic, J. M. (2006). Recent research on age, second language acquisition, and early foreign language learning. </w:t>
      </w:r>
      <w:r w:rsidRPr="002B6A9A">
        <w:rPr>
          <w:i/>
          <w:iCs/>
        </w:rPr>
        <w:t>Annual Review of Applied Linguistics</w:t>
      </w:r>
      <w:r w:rsidRPr="002B6A9A">
        <w:t xml:space="preserve">, </w:t>
      </w:r>
      <w:r w:rsidRPr="002B6A9A">
        <w:rPr>
          <w:i/>
          <w:iCs/>
        </w:rPr>
        <w:t>26</w:t>
      </w:r>
      <w:r w:rsidRPr="002B6A9A">
        <w:t>, 234-260.</w:t>
      </w:r>
    </w:p>
    <w:p w:rsidR="00E01CC3" w:rsidRPr="002B6A9A" w:rsidRDefault="00E01CC3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lastRenderedPageBreak/>
        <w:t xml:space="preserve">Oyama, S. (1976). A sensitive period for the acquisition of a nonnative phonological system. </w:t>
      </w:r>
      <w:r w:rsidRPr="002B6A9A">
        <w:rPr>
          <w:rFonts w:ascii="Times New Roman" w:hAnsi="Times New Roman" w:cs="Times New Roman"/>
          <w:i/>
          <w:sz w:val="24"/>
          <w:szCs w:val="24"/>
        </w:rPr>
        <w:t>Journal of Psycholinguistic Research, 5</w:t>
      </w:r>
      <w:r w:rsidRPr="002B6A9A">
        <w:rPr>
          <w:rFonts w:ascii="Times New Roman" w:hAnsi="Times New Roman" w:cs="Times New Roman"/>
          <w:sz w:val="24"/>
          <w:szCs w:val="24"/>
        </w:rPr>
        <w:t xml:space="preserve">(3), 261-283. DOI: 10.1007/ bf01067377 </w:t>
      </w:r>
    </w:p>
    <w:p w:rsidR="00E01CC3" w:rsidRPr="002B6A9A" w:rsidRDefault="00E01CC3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Oyama, S. (1982). A sensitive period for the acquisition of a nonnative phonological system. In S. Krashen, R. Scarcella, &amp; M. Long, (Eds.), </w:t>
      </w:r>
      <w:r w:rsidRPr="002B6A9A">
        <w:rPr>
          <w:rFonts w:ascii="Times New Roman" w:hAnsi="Times New Roman" w:cs="Times New Roman"/>
          <w:i/>
          <w:sz w:val="24"/>
          <w:szCs w:val="24"/>
        </w:rPr>
        <w:t xml:space="preserve">Child-adult differences in second language acquisition </w:t>
      </w:r>
      <w:r w:rsidRPr="002B6A9A">
        <w:rPr>
          <w:rFonts w:ascii="Times New Roman" w:hAnsi="Times New Roman" w:cs="Times New Roman"/>
          <w:sz w:val="24"/>
          <w:szCs w:val="24"/>
        </w:rPr>
        <w:t xml:space="preserve">(pp. 20-38). Rowley, MA: Newbury House. 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noProof/>
        </w:rPr>
      </w:pPr>
      <w:r w:rsidRPr="002B6A9A">
        <w:rPr>
          <w:noProof/>
        </w:rPr>
        <w:t xml:space="preserve">Patkowski, M. (1980). The sensitive period for the acquisition of syntax in a second language. </w:t>
      </w:r>
      <w:r w:rsidRPr="002B6A9A">
        <w:rPr>
          <w:i/>
          <w:noProof/>
        </w:rPr>
        <w:t>Language Learning, 30</w:t>
      </w:r>
      <w:r w:rsidRPr="002B6A9A">
        <w:rPr>
          <w:noProof/>
        </w:rPr>
        <w:t>(2), 449-472.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rFonts w:eastAsia="Times New Roman"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rFonts w:eastAsia="Times New Roman"/>
        </w:rPr>
      </w:pPr>
      <w:r w:rsidRPr="002B6A9A">
        <w:rPr>
          <w:rFonts w:eastAsia="Times New Roman"/>
        </w:rPr>
        <w:t xml:space="preserve">Patkowski, M. S. (1990). Age and accent in a second language: A reply to James Emil Flege. </w:t>
      </w:r>
      <w:r w:rsidRPr="002B6A9A">
        <w:rPr>
          <w:rFonts w:eastAsia="Times New Roman"/>
          <w:i/>
          <w:iCs/>
        </w:rPr>
        <w:t>Applied Linguistics</w:t>
      </w:r>
      <w:r w:rsidRPr="002B6A9A">
        <w:rPr>
          <w:rFonts w:eastAsia="Times New Roman"/>
        </w:rPr>
        <w:t xml:space="preserve">, </w:t>
      </w:r>
      <w:r w:rsidRPr="002B6A9A">
        <w:rPr>
          <w:rFonts w:eastAsia="Times New Roman"/>
          <w:i/>
          <w:iCs/>
        </w:rPr>
        <w:t>11</w:t>
      </w:r>
      <w:r w:rsidRPr="002B6A9A">
        <w:rPr>
          <w:rFonts w:eastAsia="Times New Roman"/>
        </w:rPr>
        <w:t>(1), 73-89.</w:t>
      </w:r>
    </w:p>
    <w:p w:rsidR="00E01CC3" w:rsidRPr="002B6A9A" w:rsidRDefault="00E01CC3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Pennington, M. C. (1998). The teachability of phonology in adulthood: A re-examination. </w:t>
      </w:r>
      <w:r w:rsidRPr="002B6A9A">
        <w:rPr>
          <w:rFonts w:ascii="Times New Roman" w:hAnsi="Times New Roman" w:cs="Times New Roman"/>
          <w:i/>
          <w:sz w:val="24"/>
          <w:szCs w:val="24"/>
        </w:rPr>
        <w:t>International Review of Applied Linguistics in Language Teaching, 36</w:t>
      </w:r>
      <w:r w:rsidRPr="002B6A9A">
        <w:rPr>
          <w:rFonts w:ascii="Times New Roman" w:hAnsi="Times New Roman" w:cs="Times New Roman"/>
          <w:sz w:val="24"/>
          <w:szCs w:val="24"/>
        </w:rPr>
        <w:t xml:space="preserve">(4), 323-341. DOI: 10.1515/iral.1998.36.4.323 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Pfefferbaum, A., Mathalon, D. H., Sullivan, E. V., Rawles, J. M., Zipursky, R. B., &amp; Lim, K. O. (1994). A quantitative magnetic resonance imaging study of changes in brain morphology from infancy to late adulthood. </w:t>
      </w:r>
      <w:r w:rsidRPr="002B6A9A">
        <w:rPr>
          <w:i/>
          <w:iCs/>
        </w:rPr>
        <w:t>Archives of Neurology</w:t>
      </w:r>
      <w:r w:rsidRPr="002B6A9A">
        <w:t xml:space="preserve">, </w:t>
      </w:r>
      <w:r w:rsidRPr="002B6A9A">
        <w:rPr>
          <w:i/>
          <w:iCs/>
        </w:rPr>
        <w:t>51</w:t>
      </w:r>
      <w:r w:rsidRPr="002B6A9A">
        <w:rPr>
          <w:iCs/>
        </w:rPr>
        <w:t>(9)</w:t>
      </w:r>
      <w:r w:rsidRPr="002B6A9A">
        <w:t>, 874-887.</w:t>
      </w:r>
    </w:p>
    <w:p w:rsidR="00E01CC3" w:rsidRPr="002B6A9A" w:rsidRDefault="00E01CC3" w:rsidP="002B6A9A">
      <w:pPr>
        <w:pStyle w:val="NormalWeb"/>
        <w:spacing w:before="0" w:beforeAutospacing="0" w:after="0" w:afterAutospacing="0" w:line="240" w:lineRule="auto"/>
        <w:ind w:left="720" w:hanging="720"/>
      </w:pPr>
    </w:p>
    <w:p w:rsidR="009E472F" w:rsidRPr="002B6A9A" w:rsidRDefault="009E472F" w:rsidP="002B6A9A">
      <w:pPr>
        <w:pStyle w:val="NormalWeb"/>
        <w:spacing w:before="0" w:beforeAutospacing="0" w:after="0" w:afterAutospacing="0" w:line="240" w:lineRule="auto"/>
        <w:ind w:left="720" w:hanging="720"/>
      </w:pPr>
      <w:r w:rsidRPr="002B6A9A">
        <w:t xml:space="preserve">Pfenninger, S. E. (2011). Age effects on the acquisition of nominal and verbal inflections in an instructed setting. </w:t>
      </w:r>
      <w:r w:rsidRPr="002B6A9A">
        <w:rPr>
          <w:i/>
        </w:rPr>
        <w:t>Studies in Second Language Learning and Teaching, 1</w:t>
      </w:r>
      <w:r w:rsidRPr="002B6A9A">
        <w:t>, 401-420.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Raz, N. (2005). The aging brain observed </w:t>
      </w:r>
      <w:r w:rsidRPr="002B6A9A">
        <w:rPr>
          <w:iCs/>
        </w:rPr>
        <w:t>in vivo</w:t>
      </w:r>
      <w:r w:rsidRPr="002B6A9A">
        <w:t xml:space="preserve">: Differential changes and their modifiers. In R. Cabeza, L. Nyberg, &amp; D. Park (Eds.), </w:t>
      </w:r>
      <w:r w:rsidRPr="002B6A9A">
        <w:rPr>
          <w:i/>
          <w:iCs/>
        </w:rPr>
        <w:t xml:space="preserve">Cognitive neuroscience of aging: Linking cognitive and cerebral aging </w:t>
      </w:r>
      <w:r w:rsidRPr="002B6A9A">
        <w:t xml:space="preserve">(pp.19-57). New York, NY: Oxford University Press. 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Raz, N., Rodrigue, K. M., Kennedy, K. M., Head, D., Gunning-Dixon, F. M., &amp; Acker, J. D. (2003). Differential aging of the human striatum: Longitudinal evidence. </w:t>
      </w:r>
      <w:r w:rsidRPr="002B6A9A">
        <w:rPr>
          <w:i/>
          <w:iCs/>
        </w:rPr>
        <w:t>American Journal of Neuroradiology</w:t>
      </w:r>
      <w:r w:rsidRPr="002B6A9A">
        <w:t xml:space="preserve">, </w:t>
      </w:r>
      <w:r w:rsidRPr="002B6A9A">
        <w:rPr>
          <w:i/>
          <w:iCs/>
        </w:rPr>
        <w:t>24</w:t>
      </w:r>
      <w:r w:rsidRPr="002B6A9A">
        <w:rPr>
          <w:iCs/>
        </w:rPr>
        <w:t>(9)</w:t>
      </w:r>
      <w:r w:rsidRPr="002B6A9A">
        <w:t>, 1849– 1856.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Reuter-Lorenz, P. A. (2000). Cognitive neuropsychology of the aging brain, in D. C. Park &amp; N. Schwarz (Eds.), </w:t>
      </w:r>
      <w:r w:rsidRPr="002B6A9A">
        <w:rPr>
          <w:i/>
          <w:iCs/>
        </w:rPr>
        <w:t xml:space="preserve">Cognitive aging: A primer </w:t>
      </w:r>
      <w:r w:rsidRPr="002B6A9A">
        <w:t>(pp. 93-114). Philadelphia, PA: Psychology Press.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rStyle w:val="fontstyle13"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rStyle w:val="apple-converted-space"/>
        </w:rPr>
      </w:pPr>
      <w:r w:rsidRPr="002B6A9A">
        <w:rPr>
          <w:rStyle w:val="fontstyle13"/>
        </w:rPr>
        <w:t xml:space="preserve">Rosansky, E. (1975). </w:t>
      </w:r>
      <w:r w:rsidRPr="002B6A9A">
        <w:rPr>
          <w:rStyle w:val="fontstyle13"/>
          <w:i/>
        </w:rPr>
        <w:t>Neurophysiological and cognitive developmental factors and the critical period for the acquisition of language</w:t>
      </w:r>
      <w:r w:rsidRPr="002B6A9A">
        <w:rPr>
          <w:rStyle w:val="fontstyle13"/>
        </w:rPr>
        <w:t>. Paper presented at the</w:t>
      </w:r>
      <w:r w:rsidRPr="002B6A9A">
        <w:rPr>
          <w:rStyle w:val="apple-converted-space"/>
        </w:rPr>
        <w:t> </w:t>
      </w:r>
      <w:r w:rsidRPr="002B6A9A">
        <w:rPr>
          <w:rStyle w:val="fontstyle14"/>
        </w:rPr>
        <w:t>Third International Child Language Symposium</w:t>
      </w:r>
      <w:r w:rsidRPr="002B6A9A">
        <w:rPr>
          <w:rStyle w:val="apple-converted-space"/>
        </w:rPr>
        <w:t>, London, UK.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Saito, K. (2015). Experience effects on the development of late second language learner’s oral proficiency. </w:t>
      </w:r>
      <w:r w:rsidRPr="002B6A9A">
        <w:rPr>
          <w:i/>
          <w:iCs/>
        </w:rPr>
        <w:t xml:space="preserve">Language Learning, 65(3), </w:t>
      </w:r>
      <w:r w:rsidRPr="002B6A9A">
        <w:t>563-595.</w:t>
      </w:r>
    </w:p>
    <w:p w:rsidR="00E01CC3" w:rsidRPr="002B6A9A" w:rsidRDefault="00E01CC3" w:rsidP="002B6A9A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</w:p>
    <w:p w:rsidR="009E472F" w:rsidRPr="002B6A9A" w:rsidRDefault="009E472F" w:rsidP="002B6A9A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  <w:r w:rsidRPr="002B6A9A">
        <w:t>Schrauf, R. W. (2008). Bilingualism and aging. In R. Heredia &amp; J. Altariba (Eds.</w:t>
      </w:r>
      <w:proofErr w:type="gramStart"/>
      <w:r w:rsidRPr="002B6A9A">
        <w:t xml:space="preserve">),  </w:t>
      </w:r>
      <w:r w:rsidRPr="002B6A9A">
        <w:rPr>
          <w:rStyle w:val="Emphasis"/>
        </w:rPr>
        <w:t>An</w:t>
      </w:r>
      <w:proofErr w:type="gramEnd"/>
      <w:r w:rsidRPr="002B6A9A">
        <w:rPr>
          <w:rStyle w:val="Emphasis"/>
        </w:rPr>
        <w:t xml:space="preserve"> introduction to bilingualism: Principles and processes</w:t>
      </w:r>
      <w:r w:rsidRPr="002B6A9A">
        <w:t xml:space="preserve"> (pp.105-127). New York, NY: Lawrence Erlbaum.  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lastRenderedPageBreak/>
        <w:t xml:space="preserve">Seliger, H. W. (1978). Implications of a multiple critical </w:t>
      </w:r>
      <w:proofErr w:type="gramStart"/>
      <w:r w:rsidRPr="002B6A9A">
        <w:t>periods</w:t>
      </w:r>
      <w:proofErr w:type="gramEnd"/>
      <w:r w:rsidRPr="002B6A9A">
        <w:t xml:space="preserve"> hypothesis for second language learning. In W. Ritchie (Ed.), </w:t>
      </w:r>
      <w:r w:rsidRPr="002B6A9A">
        <w:rPr>
          <w:i/>
          <w:iCs/>
        </w:rPr>
        <w:t xml:space="preserve">Second language acquisition research: Issues and implications </w:t>
      </w:r>
      <w:r w:rsidRPr="002B6A9A">
        <w:t>(pp. 11-19). New York: Academic Press.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bCs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bCs/>
        </w:rPr>
      </w:pPr>
      <w:r w:rsidRPr="002B6A9A">
        <w:rPr>
          <w:bCs/>
        </w:rPr>
        <w:t xml:space="preserve">Seol, H. (2005). The critical period in the acquisition of L2 syntax: A partial replication of Johnson and Newport, </w:t>
      </w:r>
      <w:r w:rsidRPr="002B6A9A">
        <w:rPr>
          <w:bCs/>
          <w:i/>
        </w:rPr>
        <w:t>Educational Psychology, 24,</w:t>
      </w:r>
      <w:r w:rsidRPr="002B6A9A">
        <w:rPr>
          <w:bCs/>
        </w:rPr>
        <w:t xml:space="preserve"> 77-97.</w:t>
      </w:r>
    </w:p>
    <w:p w:rsidR="00E01CC3" w:rsidRPr="002B6A9A" w:rsidRDefault="00E01CC3" w:rsidP="002B6A9A">
      <w:pPr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 xml:space="preserve">Shim, R. J. (1993). Sensitive period for second language acquisition: A reaction time study of syntactic processing of English by Korean-English bilinguals. </w:t>
      </w:r>
      <w:r w:rsidRPr="002B6A9A">
        <w:rPr>
          <w:i/>
        </w:rPr>
        <w:t xml:space="preserve">Ideas and Developments in English and Applied Linguistics. 6, </w:t>
      </w:r>
      <w:r w:rsidRPr="002B6A9A">
        <w:t>43-64.</w:t>
      </w:r>
    </w:p>
    <w:p w:rsidR="00E01CC3" w:rsidRPr="002B6A9A" w:rsidRDefault="00E01CC3" w:rsidP="002B6A9A">
      <w:pPr>
        <w:spacing w:line="240" w:lineRule="auto"/>
        <w:ind w:left="720" w:hanging="720"/>
        <w:rPr>
          <w:rStyle w:val="citation"/>
        </w:rPr>
      </w:pPr>
    </w:p>
    <w:p w:rsidR="009E472F" w:rsidRPr="002B6A9A" w:rsidRDefault="009E472F" w:rsidP="002B6A9A">
      <w:pPr>
        <w:spacing w:line="240" w:lineRule="auto"/>
        <w:ind w:left="720" w:hanging="720"/>
      </w:pPr>
      <w:r w:rsidRPr="002B6A9A">
        <w:rPr>
          <w:rStyle w:val="citation"/>
        </w:rPr>
        <w:t xml:space="preserve">Silverberg S., &amp; Samuel A. G. (2004). The effect of age of second language acquisition on the representation and processing of second language words. </w:t>
      </w:r>
      <w:r w:rsidRPr="002B6A9A">
        <w:rPr>
          <w:rStyle w:val="ref-journal"/>
          <w:i/>
        </w:rPr>
        <w:t xml:space="preserve">Journal of Memory and Language, </w:t>
      </w:r>
      <w:r w:rsidRPr="002B6A9A">
        <w:rPr>
          <w:rStyle w:val="ref-vol"/>
          <w:i/>
        </w:rPr>
        <w:t>51</w:t>
      </w:r>
      <w:r w:rsidRPr="002B6A9A">
        <w:rPr>
          <w:rStyle w:val="ref-vol"/>
        </w:rPr>
        <w:t xml:space="preserve">, </w:t>
      </w:r>
      <w:r w:rsidRPr="002B6A9A">
        <w:rPr>
          <w:rStyle w:val="citation"/>
        </w:rPr>
        <w:t>381–398.</w:t>
      </w: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Singleton, D. (2001). Age and second language acquisition. </w:t>
      </w:r>
      <w:r w:rsidRPr="002B6A9A">
        <w:rPr>
          <w:rFonts w:ascii="Times New Roman" w:hAnsi="Times New Roman" w:cs="Times New Roman"/>
          <w:i/>
          <w:sz w:val="24"/>
          <w:szCs w:val="24"/>
        </w:rPr>
        <w:t>Annual Review of Applied Linguistics, 21</w:t>
      </w:r>
      <w:r w:rsidRPr="002B6A9A">
        <w:rPr>
          <w:rFonts w:ascii="Times New Roman" w:hAnsi="Times New Roman" w:cs="Times New Roman"/>
          <w:sz w:val="24"/>
          <w:szCs w:val="24"/>
        </w:rPr>
        <w:t xml:space="preserve">, 77-89. DOI: 10.1017/s026719050100058 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Singleton, D. (2005). The Critical Period Hypothesis: A coat of many colours. </w:t>
      </w:r>
      <w:r w:rsidRPr="002B6A9A">
        <w:rPr>
          <w:i/>
          <w:iCs/>
        </w:rPr>
        <w:t>International Review of Applied Linguistics</w:t>
      </w:r>
      <w:r w:rsidRPr="002B6A9A">
        <w:t xml:space="preserve">, </w:t>
      </w:r>
      <w:r w:rsidRPr="002B6A9A">
        <w:rPr>
          <w:i/>
          <w:iCs/>
        </w:rPr>
        <w:t>43</w:t>
      </w:r>
      <w:r w:rsidRPr="002B6A9A">
        <w:rPr>
          <w:iCs/>
        </w:rPr>
        <w:t>(4)</w:t>
      </w:r>
      <w:r w:rsidRPr="002B6A9A">
        <w:t>, 269-286.</w:t>
      </w:r>
    </w:p>
    <w:p w:rsidR="00E01CC3" w:rsidRPr="002B6A9A" w:rsidRDefault="00E01CC3" w:rsidP="002B6A9A">
      <w:pPr>
        <w:tabs>
          <w:tab w:val="left" w:pos="9360"/>
        </w:tabs>
        <w:spacing w:after="0" w:line="240" w:lineRule="auto"/>
        <w:ind w:left="720" w:hanging="720"/>
      </w:pPr>
    </w:p>
    <w:p w:rsidR="009E472F" w:rsidRPr="002B6A9A" w:rsidRDefault="009E472F" w:rsidP="002B6A9A">
      <w:pPr>
        <w:tabs>
          <w:tab w:val="left" w:pos="9360"/>
        </w:tabs>
        <w:spacing w:after="0" w:line="240" w:lineRule="auto"/>
        <w:ind w:left="720" w:hanging="720"/>
      </w:pPr>
      <w:r w:rsidRPr="002B6A9A">
        <w:t xml:space="preserve">Singleton, D. (2011). Around and beyond the critical period hypothesis. In E. Hinkel (Ed.), </w:t>
      </w:r>
      <w:r w:rsidRPr="002B6A9A">
        <w:rPr>
          <w:i/>
        </w:rPr>
        <w:t>Handbook of research in second language teaching and learning</w:t>
      </w:r>
      <w:r w:rsidRPr="002B6A9A">
        <w:t xml:space="preserve"> (Vol. 2, pp. 407-425), New York, NY: Routledge.</w:t>
      </w:r>
    </w:p>
    <w:p w:rsidR="009E472F" w:rsidRPr="002B6A9A" w:rsidRDefault="009E472F" w:rsidP="002B6A9A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2B6A9A">
        <w:rPr>
          <w:rFonts w:ascii="Times New Roman" w:hAnsi="Times New Roman"/>
          <w:b w:val="0"/>
          <w:color w:val="auto"/>
          <w:sz w:val="24"/>
          <w:szCs w:val="24"/>
        </w:rPr>
        <w:t xml:space="preserve">Singleton, D. (2014). Apt to change: The problem of language awareness and language aptitude in age-related research. </w:t>
      </w:r>
      <w:r w:rsidRPr="002B6A9A">
        <w:rPr>
          <w:rFonts w:ascii="Times New Roman" w:hAnsi="Times New Roman"/>
          <w:b w:val="0"/>
          <w:i/>
          <w:iCs/>
          <w:color w:val="auto"/>
          <w:sz w:val="24"/>
          <w:szCs w:val="24"/>
        </w:rPr>
        <w:t>Studies in Second Language Learning and Teaching</w:t>
      </w:r>
      <w:r w:rsidRPr="002B6A9A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2B6A9A">
        <w:rPr>
          <w:rFonts w:ascii="Times New Roman" w:hAnsi="Times New Roman"/>
          <w:b w:val="0"/>
          <w:i/>
          <w:color w:val="auto"/>
          <w:sz w:val="24"/>
          <w:szCs w:val="24"/>
        </w:rPr>
        <w:t>4</w:t>
      </w:r>
      <w:r w:rsidRPr="002B6A9A">
        <w:rPr>
          <w:rFonts w:ascii="Times New Roman" w:hAnsi="Times New Roman"/>
          <w:b w:val="0"/>
          <w:color w:val="auto"/>
          <w:sz w:val="24"/>
          <w:szCs w:val="24"/>
        </w:rPr>
        <w:t>, 557-571.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bCs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bCs/>
        </w:rPr>
      </w:pPr>
      <w:r w:rsidRPr="002B6A9A">
        <w:rPr>
          <w:bCs/>
        </w:rPr>
        <w:t xml:space="preserve">Singleton, B., &amp; Muñoz, C. (2011). Around and beyond the critical period. In E. Hinkel (Ed.), </w:t>
      </w:r>
      <w:r w:rsidRPr="002B6A9A">
        <w:rPr>
          <w:bCs/>
          <w:i/>
        </w:rPr>
        <w:t xml:space="preserve">Handbook of research in second language teaching and research. </w:t>
      </w:r>
      <w:r w:rsidRPr="002B6A9A">
        <w:rPr>
          <w:bCs/>
        </w:rPr>
        <w:t>(vol. II), (pp. 407-425). New York, NY: Routledge.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bCs/>
        </w:rPr>
      </w:pPr>
    </w:p>
    <w:p w:rsidR="009E472F" w:rsidRPr="002B6A9A" w:rsidRDefault="009E472F" w:rsidP="002B6A9A">
      <w:pPr>
        <w:spacing w:after="0" w:line="240" w:lineRule="auto"/>
        <w:ind w:left="720" w:hanging="720"/>
        <w:rPr>
          <w:bCs/>
        </w:rPr>
      </w:pPr>
      <w:r w:rsidRPr="002B6A9A">
        <w:rPr>
          <w:bCs/>
        </w:rPr>
        <w:t xml:space="preserve">Slavoff, G. R., &amp; Johnson, J. S. (1995). The effects of age on the rate of learning a second language. </w:t>
      </w:r>
      <w:r w:rsidRPr="002B6A9A">
        <w:rPr>
          <w:bCs/>
          <w:i/>
        </w:rPr>
        <w:t>Studies in Second Language Acquisition, 17,</w:t>
      </w:r>
      <w:r w:rsidRPr="002B6A9A">
        <w:rPr>
          <w:bCs/>
        </w:rPr>
        <w:t xml:space="preserve"> 1–16.</w:t>
      </w:r>
    </w:p>
    <w:p w:rsidR="00E01CC3" w:rsidRPr="002B6A9A" w:rsidRDefault="00E01CC3" w:rsidP="002B6A9A">
      <w:pPr>
        <w:spacing w:after="0" w:line="240" w:lineRule="auto"/>
        <w:ind w:left="720" w:hanging="720"/>
        <w:rPr>
          <w:bCs/>
        </w:rPr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rPr>
          <w:bCs/>
        </w:rPr>
        <w:t xml:space="preserve">Snow, C., &amp; Hoefnagel-Hohle, M. (1978). The critical period for language acquisition:    Evidence from second language learning. </w:t>
      </w:r>
      <w:r w:rsidRPr="002B6A9A">
        <w:rPr>
          <w:bCs/>
          <w:i/>
          <w:iCs/>
        </w:rPr>
        <w:t>Child Development</w:t>
      </w:r>
      <w:r w:rsidRPr="002B6A9A">
        <w:rPr>
          <w:bCs/>
          <w:i/>
        </w:rPr>
        <w:t>, 49,</w:t>
      </w:r>
      <w:r w:rsidRPr="002B6A9A">
        <w:rPr>
          <w:bCs/>
        </w:rPr>
        <w:t xml:space="preserve"> 1114–1128.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565686" w:rsidRPr="002B6A9A" w:rsidRDefault="00565686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Spadaro, K. (2013). Maturational constraints on lexical acquisition in a second language. In G. </w:t>
      </w:r>
      <w:proofErr w:type="spellStart"/>
      <w:r w:rsidRPr="002B6A9A">
        <w:t>Granena</w:t>
      </w:r>
      <w:proofErr w:type="spellEnd"/>
      <w:r w:rsidRPr="002B6A9A">
        <w:t xml:space="preserve"> &amp; M. Long (Eds.), </w:t>
      </w:r>
      <w:r w:rsidRPr="002B6A9A">
        <w:rPr>
          <w:i/>
          <w:iCs/>
        </w:rPr>
        <w:t>Sensitive periods, language aptitude, and ultimate L2 attainment</w:t>
      </w:r>
      <w:r w:rsidRPr="002B6A9A">
        <w:t xml:space="preserve"> (pp. 43-68). Philadelphia, PA: John </w:t>
      </w:r>
      <w:proofErr w:type="spellStart"/>
      <w:r w:rsidRPr="002B6A9A">
        <w:t>Benjamins</w:t>
      </w:r>
      <w:proofErr w:type="spellEnd"/>
      <w:r w:rsidRPr="002B6A9A">
        <w:t>.</w:t>
      </w:r>
    </w:p>
    <w:p w:rsidR="00565686" w:rsidRPr="002B6A9A" w:rsidRDefault="00565686" w:rsidP="002B6A9A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</w:pPr>
      <w:r w:rsidRPr="002B6A9A">
        <w:t xml:space="preserve">Stowe, L. A., &amp; Sabourin, L. (2005). Imaging the processing of a second language: Effects of maturation and proficiency on the neural processes involved. </w:t>
      </w:r>
      <w:r w:rsidRPr="002B6A9A">
        <w:rPr>
          <w:i/>
          <w:iCs/>
        </w:rPr>
        <w:t>International Review of Applied Linguistics</w:t>
      </w:r>
      <w:r w:rsidRPr="002B6A9A">
        <w:t xml:space="preserve">, </w:t>
      </w:r>
      <w:r w:rsidRPr="002B6A9A">
        <w:rPr>
          <w:i/>
          <w:iCs/>
        </w:rPr>
        <w:t>43</w:t>
      </w:r>
      <w:r w:rsidRPr="002B6A9A">
        <w:rPr>
          <w:iCs/>
        </w:rPr>
        <w:t>(4)</w:t>
      </w:r>
      <w:r w:rsidRPr="002B6A9A">
        <w:t>, 329-354.</w:t>
      </w:r>
    </w:p>
    <w:p w:rsidR="00E01CC3" w:rsidRPr="002B6A9A" w:rsidRDefault="00E01CC3" w:rsidP="002B6A9A">
      <w:pPr>
        <w:spacing w:after="0" w:line="240" w:lineRule="auto"/>
        <w:ind w:left="720" w:hanging="720"/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t>Torras, M., &amp; Celaya, M. (2001). Age-related differences in the development of written production. An empirical study of EFL school learners</w:t>
      </w:r>
      <w:r w:rsidRPr="002B6A9A">
        <w:rPr>
          <w:i/>
        </w:rPr>
        <w:t xml:space="preserve">. </w:t>
      </w:r>
      <w:r w:rsidRPr="002B6A9A">
        <w:rPr>
          <w:i/>
          <w:iCs/>
        </w:rPr>
        <w:t>International Journal of English Studies, 1</w:t>
      </w:r>
      <w:r w:rsidRPr="002B6A9A">
        <w:rPr>
          <w:i/>
        </w:rPr>
        <w:t>,</w:t>
      </w:r>
      <w:r w:rsidRPr="002B6A9A">
        <w:t xml:space="preserve"> 103-126.</w:t>
      </w:r>
    </w:p>
    <w:p w:rsidR="00E01CC3" w:rsidRPr="002B6A9A" w:rsidRDefault="00E01CC3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Tsukada, K., Birdsong, D., Bialystok, E., Mack, M., Sung, H., &amp; Flege, J. (2005). A developmental study of English vowel production and perception by native Korean adults and children. </w:t>
      </w:r>
      <w:r w:rsidRPr="002B6A9A">
        <w:rPr>
          <w:rFonts w:ascii="Times New Roman" w:hAnsi="Times New Roman" w:cs="Times New Roman"/>
          <w:i/>
          <w:sz w:val="24"/>
          <w:szCs w:val="24"/>
        </w:rPr>
        <w:t>Journal of Phonetics, 33</w:t>
      </w:r>
      <w:r w:rsidRPr="002B6A9A">
        <w:rPr>
          <w:rFonts w:ascii="Times New Roman" w:hAnsi="Times New Roman" w:cs="Times New Roman"/>
          <w:sz w:val="24"/>
          <w:szCs w:val="24"/>
        </w:rPr>
        <w:t xml:space="preserve">(3), 263-290. DOI: 10.1016/j.wocn.2004.10.002 </w:t>
      </w:r>
    </w:p>
    <w:p w:rsidR="00E01CC3" w:rsidRPr="002B6A9A" w:rsidRDefault="00E01CC3" w:rsidP="002B6A9A">
      <w:pPr>
        <w:autoSpaceDE w:val="0"/>
        <w:autoSpaceDN w:val="0"/>
        <w:adjustRightInd w:val="0"/>
        <w:spacing w:after="0" w:line="240" w:lineRule="auto"/>
        <w:ind w:left="720" w:hanging="720"/>
      </w:pPr>
    </w:p>
    <w:p w:rsidR="009E472F" w:rsidRPr="002B6A9A" w:rsidRDefault="009E472F" w:rsidP="002B6A9A">
      <w:pPr>
        <w:autoSpaceDE w:val="0"/>
        <w:autoSpaceDN w:val="0"/>
        <w:adjustRightInd w:val="0"/>
        <w:spacing w:after="0" w:line="240" w:lineRule="auto"/>
        <w:ind w:left="720" w:hanging="720"/>
        <w:rPr>
          <w:b/>
        </w:rPr>
      </w:pPr>
      <w:r w:rsidRPr="002B6A9A">
        <w:t xml:space="preserve">Volkow, N. D., Wang, G.-J., Fowler, J. S., Ding, Y.-S., Gur, R., Gatley, S. J., et al. (1998). Parallel loss of pre and postsynaptic dopamine markers in normal aging. </w:t>
      </w:r>
      <w:r w:rsidRPr="002B6A9A">
        <w:rPr>
          <w:i/>
          <w:iCs/>
        </w:rPr>
        <w:t>Annals of Neurology</w:t>
      </w:r>
      <w:r w:rsidRPr="002B6A9A">
        <w:t xml:space="preserve">, </w:t>
      </w:r>
      <w:r w:rsidRPr="002B6A9A">
        <w:rPr>
          <w:i/>
          <w:iCs/>
        </w:rPr>
        <w:t>44</w:t>
      </w:r>
      <w:r w:rsidRPr="002B6A9A">
        <w:rPr>
          <w:iCs/>
        </w:rPr>
        <w:t>(1)</w:t>
      </w:r>
      <w:r w:rsidRPr="002B6A9A">
        <w:t>, 143-147.</w:t>
      </w:r>
    </w:p>
    <w:p w:rsidR="00E01CC3" w:rsidRPr="002B6A9A" w:rsidRDefault="00E01CC3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72F" w:rsidRPr="002B6A9A" w:rsidRDefault="009E472F" w:rsidP="002B6A9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A9A">
        <w:rPr>
          <w:rFonts w:ascii="Times New Roman" w:hAnsi="Times New Roman" w:cs="Times New Roman"/>
          <w:sz w:val="24"/>
          <w:szCs w:val="24"/>
        </w:rPr>
        <w:t xml:space="preserve">Werker, J. F., &amp; Tees, R. C. (2002). Cross-language speech perception: Evidence for perceptual reorganization during the first year of life. </w:t>
      </w:r>
      <w:r w:rsidRPr="002B6A9A">
        <w:rPr>
          <w:rFonts w:ascii="Times New Roman" w:hAnsi="Times New Roman" w:cs="Times New Roman"/>
          <w:i/>
          <w:sz w:val="24"/>
          <w:szCs w:val="24"/>
        </w:rPr>
        <w:t>Infant Behavior and Development, 25</w:t>
      </w:r>
      <w:r w:rsidRPr="002B6A9A">
        <w:rPr>
          <w:rFonts w:ascii="Times New Roman" w:hAnsi="Times New Roman" w:cs="Times New Roman"/>
          <w:sz w:val="24"/>
          <w:szCs w:val="24"/>
        </w:rPr>
        <w:t xml:space="preserve">(1), 121-133. DOI: 10.1016/s0163-6383(02)00093-0 </w:t>
      </w:r>
    </w:p>
    <w:p w:rsidR="00E01CC3" w:rsidRPr="002B6A9A" w:rsidRDefault="00E01CC3" w:rsidP="002B6A9A">
      <w:pPr>
        <w:spacing w:after="0" w:line="240" w:lineRule="auto"/>
        <w:ind w:left="720" w:hanging="720"/>
        <w:rPr>
          <w:noProof/>
        </w:rPr>
      </w:pPr>
    </w:p>
    <w:p w:rsidR="009E472F" w:rsidRPr="002B6A9A" w:rsidRDefault="009E472F" w:rsidP="002B6A9A">
      <w:pPr>
        <w:spacing w:after="0" w:line="240" w:lineRule="auto"/>
        <w:ind w:left="720" w:hanging="720"/>
      </w:pPr>
      <w:r w:rsidRPr="002B6A9A">
        <w:rPr>
          <w:noProof/>
        </w:rPr>
        <w:t xml:space="preserve">White, L., &amp; Genesee, F. (1996). How native is near-native? The issue of ultimate attainment in adult second language acquisition. </w:t>
      </w:r>
      <w:r w:rsidRPr="002B6A9A">
        <w:rPr>
          <w:i/>
          <w:noProof/>
        </w:rPr>
        <w:t>Second Language Research, 12</w:t>
      </w:r>
      <w:r w:rsidRPr="002B6A9A">
        <w:rPr>
          <w:noProof/>
        </w:rPr>
        <w:t>(3), 233-265.</w:t>
      </w:r>
      <w:r w:rsidRPr="002B6A9A">
        <w:t xml:space="preserve"> </w:t>
      </w:r>
    </w:p>
    <w:p w:rsidR="002A50AB" w:rsidRPr="002B6A9A" w:rsidRDefault="002A50AB" w:rsidP="002B6A9A">
      <w:pPr>
        <w:spacing w:after="0" w:line="240" w:lineRule="auto"/>
        <w:ind w:left="720" w:hanging="720"/>
      </w:pPr>
    </w:p>
    <w:p w:rsidR="00515F41" w:rsidRPr="002B6A9A" w:rsidRDefault="00515F41" w:rsidP="002B6A9A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2B6A9A">
        <w:rPr>
          <w:rFonts w:eastAsia="Times New Roman"/>
          <w:lang w:val="en-US"/>
        </w:rPr>
        <w:t xml:space="preserve">Young-Scholten, M., &amp; Strom, N. (2006). First-time L2 readers: Is there a critical </w:t>
      </w:r>
      <w:proofErr w:type="gramStart"/>
      <w:r w:rsidRPr="002B6A9A">
        <w:rPr>
          <w:rFonts w:eastAsia="Times New Roman"/>
          <w:lang w:val="en-US"/>
        </w:rPr>
        <w:t>period?.</w:t>
      </w:r>
      <w:proofErr w:type="gramEnd"/>
      <w:r w:rsidRPr="002B6A9A">
        <w:rPr>
          <w:rFonts w:eastAsia="Times New Roman"/>
          <w:lang w:val="en-US"/>
        </w:rPr>
        <w:t xml:space="preserve"> </w:t>
      </w:r>
      <w:r w:rsidRPr="002B6A9A">
        <w:rPr>
          <w:rFonts w:eastAsia="Times New Roman"/>
          <w:i/>
          <w:iCs/>
          <w:lang w:val="en-US"/>
        </w:rPr>
        <w:t>LOT Occasional Series</w:t>
      </w:r>
      <w:r w:rsidRPr="002B6A9A">
        <w:rPr>
          <w:rFonts w:eastAsia="Times New Roman"/>
          <w:lang w:val="en-US"/>
        </w:rPr>
        <w:t xml:space="preserve">, </w:t>
      </w:r>
      <w:r w:rsidRPr="002B6A9A">
        <w:rPr>
          <w:rFonts w:eastAsia="Times New Roman"/>
          <w:i/>
          <w:iCs/>
          <w:lang w:val="en-US"/>
        </w:rPr>
        <w:t>6</w:t>
      </w:r>
      <w:r w:rsidRPr="002B6A9A">
        <w:rPr>
          <w:rFonts w:eastAsia="Times New Roman"/>
          <w:lang w:val="en-US"/>
        </w:rPr>
        <w:t>, 45-68.</w:t>
      </w:r>
    </w:p>
    <w:p w:rsidR="00515F41" w:rsidRPr="002B6A9A" w:rsidRDefault="00515F41" w:rsidP="002B6A9A">
      <w:pPr>
        <w:spacing w:after="0" w:line="240" w:lineRule="auto"/>
        <w:ind w:left="720" w:hanging="720"/>
        <w:rPr>
          <w:rStyle w:val="citation"/>
        </w:rPr>
      </w:pPr>
    </w:p>
    <w:p w:rsidR="002A50AB" w:rsidRPr="002B6A9A" w:rsidRDefault="002A50AB" w:rsidP="002B6A9A">
      <w:pPr>
        <w:spacing w:after="0" w:line="240" w:lineRule="auto"/>
        <w:ind w:left="720" w:hanging="720"/>
        <w:rPr>
          <w:noProof/>
        </w:rPr>
      </w:pPr>
      <w:r w:rsidRPr="002B6A9A">
        <w:rPr>
          <w:rStyle w:val="citation"/>
        </w:rPr>
        <w:t xml:space="preserve">Zevin, J. D., &amp; Seidenberg, M. S. (2002). Age of acquisition effect in word reading and other tasks. </w:t>
      </w:r>
      <w:r w:rsidRPr="002B6A9A">
        <w:rPr>
          <w:rStyle w:val="ref-journal"/>
          <w:i/>
        </w:rPr>
        <w:t>Journal of Memory and Language</w:t>
      </w:r>
      <w:r w:rsidRPr="002B6A9A">
        <w:rPr>
          <w:rStyle w:val="citation"/>
          <w:i/>
        </w:rPr>
        <w:t xml:space="preserve">, </w:t>
      </w:r>
      <w:r w:rsidRPr="002B6A9A">
        <w:rPr>
          <w:rStyle w:val="ref-vol"/>
          <w:i/>
        </w:rPr>
        <w:t>47</w:t>
      </w:r>
      <w:r w:rsidRPr="002B6A9A">
        <w:rPr>
          <w:rStyle w:val="ref-vol"/>
        </w:rPr>
        <w:t xml:space="preserve">, </w:t>
      </w:r>
      <w:r w:rsidRPr="002B6A9A">
        <w:rPr>
          <w:rStyle w:val="citation"/>
        </w:rPr>
        <w:t>1–29.</w:t>
      </w:r>
    </w:p>
    <w:p w:rsidR="00F26589" w:rsidRPr="002B6A9A" w:rsidRDefault="00F26589" w:rsidP="002B6A9A">
      <w:pPr>
        <w:spacing w:after="0" w:line="240" w:lineRule="auto"/>
        <w:ind w:left="720" w:hanging="720"/>
        <w:rPr>
          <w:noProof/>
        </w:rPr>
      </w:pPr>
    </w:p>
    <w:p w:rsidR="00F26589" w:rsidRPr="002B6A9A" w:rsidRDefault="002A156B" w:rsidP="002B6A9A">
      <w:pPr>
        <w:spacing w:after="0" w:line="240" w:lineRule="auto"/>
        <w:ind w:left="720" w:hanging="720"/>
      </w:pPr>
      <w:r w:rsidRPr="002B6A9A">
        <w:fldChar w:fldCharType="end"/>
      </w:r>
    </w:p>
    <w:sectPr w:rsidR="00F26589" w:rsidRPr="002B6A9A" w:rsidSect="00FA0E32">
      <w:headerReference w:type="default" r:id="rId7"/>
      <w:footerReference w:type="default" r:id="rId8"/>
      <w:headerReference w:type="first" r:id="rId9"/>
      <w:footerReference w:type="first" r:id="rId10"/>
      <w:footnotePr>
        <w:numRestart w:val="eachSect"/>
      </w:footnotePr>
      <w:pgSz w:w="11906" w:h="16838" w:code="9"/>
      <w:pgMar w:top="1411" w:right="1440" w:bottom="1411" w:left="1440" w:header="734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DE" w:rsidRDefault="00AA2FDE" w:rsidP="00596494">
      <w:pPr>
        <w:spacing w:after="0" w:line="240" w:lineRule="auto"/>
      </w:pPr>
      <w:r>
        <w:separator/>
      </w:r>
    </w:p>
  </w:endnote>
  <w:endnote w:type="continuationSeparator" w:id="0">
    <w:p w:rsidR="00AA2FDE" w:rsidRDefault="00AA2FDE" w:rsidP="0059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9" w:rsidRDefault="002A156B" w:rsidP="00D00895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BA4509">
      <w:rPr>
        <w:rStyle w:val="PageNumber"/>
      </w:rPr>
      <w:fldChar w:fldCharType="begin"/>
    </w:r>
    <w:r w:rsidR="00BA4509" w:rsidRPr="00BA4509">
      <w:rPr>
        <w:rStyle w:val="PageNumber"/>
      </w:rPr>
      <w:instrText xml:space="preserve"> PAGE   \* MERGEFORMAT </w:instrText>
    </w:r>
    <w:r w:rsidRPr="00BA4509">
      <w:rPr>
        <w:rStyle w:val="PageNumber"/>
      </w:rPr>
      <w:fldChar w:fldCharType="separate"/>
    </w:r>
    <w:r w:rsidR="000B4E72">
      <w:rPr>
        <w:rStyle w:val="PageNumber"/>
        <w:noProof/>
      </w:rPr>
      <w:t>12</w:t>
    </w:r>
    <w:r w:rsidRPr="00BA4509">
      <w:rPr>
        <w:rStyle w:val="PageNumber"/>
        <w:noProof/>
      </w:rPr>
      <w:fldChar w:fldCharType="end"/>
    </w:r>
  </w:p>
  <w:p w:rsidR="00F26589" w:rsidRDefault="00BA4509" w:rsidP="00BA4509">
    <w:pPr>
      <w:pStyle w:val="Footer"/>
      <w:spacing w:after="0" w:line="240" w:lineRule="auto"/>
      <w:ind w:right="432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</w:t>
    </w:r>
    <w:r w:rsidR="00F26589" w:rsidRPr="009D7061">
      <w:rPr>
        <w:rStyle w:val="PageNumber"/>
        <w:color w:val="000080"/>
      </w:rPr>
      <w:t xml:space="preserve"> 220, Monterey, CA  93940  USA</w:t>
    </w:r>
  </w:p>
  <w:p w:rsidR="00F26589" w:rsidRPr="002179EE" w:rsidRDefault="00F26589" w:rsidP="00BA4509">
    <w:pPr>
      <w:pStyle w:val="Footer"/>
      <w:spacing w:after="0" w:line="240" w:lineRule="auto"/>
      <w:ind w:right="432"/>
      <w:jc w:val="right"/>
      <w:rPr>
        <w:b/>
        <w:color w:val="000080"/>
      </w:rPr>
    </w:pPr>
    <w:r w:rsidRPr="00044CB8">
      <w:rPr>
        <w:rStyle w:val="PageNumber"/>
        <w:b/>
        <w:color w:val="000080"/>
      </w:rPr>
      <w:t xml:space="preserve">Web: </w:t>
    </w:r>
    <w:r w:rsidRPr="009D7061">
      <w:rPr>
        <w:rStyle w:val="PageNumber"/>
        <w:color w:val="000080"/>
      </w:rPr>
      <w:t>www.tirfonline.org</w:t>
    </w:r>
    <w:r>
      <w:rPr>
        <w:rStyle w:val="PageNumber"/>
        <w:color w:val="000080"/>
      </w:rPr>
      <w:t xml:space="preserve"> </w:t>
    </w:r>
    <w:r>
      <w:rPr>
        <w:rStyle w:val="PageNumber"/>
        <w:b/>
        <w:color w:val="000080"/>
      </w:rPr>
      <w:t>/</w:t>
    </w:r>
    <w:r w:rsidRPr="00044CB8">
      <w:rPr>
        <w:rStyle w:val="PageNumber"/>
        <w:b/>
        <w:color w:val="000080"/>
      </w:rPr>
      <w:t xml:space="preserve"> Email: </w:t>
    </w:r>
    <w:smartTag w:uri="urn:schemas-microsoft-com:office:smarttags" w:element="PersonName">
      <w:r w:rsidRPr="009D7061">
        <w:rPr>
          <w:rStyle w:val="PageNumber"/>
          <w:color w:val="000080"/>
        </w:rPr>
        <w:t>info@tirfonline.org</w:t>
      </w:r>
    </w:smartTag>
    <w:r>
      <w:rPr>
        <w:rStyle w:val="PageNumber"/>
        <w:b/>
        <w:color w:val="00008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9" w:rsidRPr="00472310" w:rsidRDefault="00F26589" w:rsidP="00472310">
    <w:pPr>
      <w:pStyle w:val="Footer"/>
      <w:pBdr>
        <w:bottom w:val="single" w:sz="12" w:space="1" w:color="auto"/>
      </w:pBdr>
      <w:ind w:right="360"/>
      <w:jc w:val="right"/>
      <w:rPr>
        <w:rStyle w:val="PageNumber"/>
        <w:lang w:val="en-US"/>
      </w:rPr>
    </w:pPr>
    <w:r w:rsidRPr="00472310">
      <w:rPr>
        <w:rStyle w:val="PageNumber"/>
        <w:color w:val="000080"/>
        <w:lang w:val="en-US"/>
      </w:rPr>
      <w:softHyphen/>
    </w:r>
    <w:r w:rsidR="002A156B" w:rsidRPr="00660C1B">
      <w:rPr>
        <w:rStyle w:val="PageNumber"/>
        <w:color w:val="000080"/>
        <w:lang w:val="en-US"/>
      </w:rPr>
      <w:fldChar w:fldCharType="begin"/>
    </w:r>
    <w:r w:rsidR="00660C1B" w:rsidRPr="00660C1B">
      <w:rPr>
        <w:rStyle w:val="PageNumber"/>
        <w:color w:val="000080"/>
        <w:lang w:val="en-US"/>
      </w:rPr>
      <w:instrText xml:space="preserve"> PAGE   \* MERGEFORMAT </w:instrText>
    </w:r>
    <w:r w:rsidR="002A156B" w:rsidRPr="00660C1B">
      <w:rPr>
        <w:rStyle w:val="PageNumber"/>
        <w:color w:val="000080"/>
        <w:lang w:val="en-US"/>
      </w:rPr>
      <w:fldChar w:fldCharType="separate"/>
    </w:r>
    <w:r w:rsidR="000B4E72">
      <w:rPr>
        <w:rStyle w:val="PageNumber"/>
        <w:noProof/>
        <w:color w:val="000080"/>
        <w:lang w:val="en-US"/>
      </w:rPr>
      <w:t>1</w:t>
    </w:r>
    <w:r w:rsidR="002A156B" w:rsidRPr="00660C1B">
      <w:rPr>
        <w:rStyle w:val="PageNumber"/>
        <w:noProof/>
        <w:color w:val="000080"/>
        <w:lang w:val="en-US"/>
      </w:rPr>
      <w:fldChar w:fldCharType="end"/>
    </w:r>
  </w:p>
  <w:p w:rsidR="00F26589" w:rsidRPr="00574DFE" w:rsidRDefault="002E5F2E" w:rsidP="00660C1B">
    <w:pPr>
      <w:pStyle w:val="Footer"/>
      <w:spacing w:after="0" w:line="240" w:lineRule="auto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</w:t>
    </w:r>
    <w:r w:rsidR="000D0C33">
      <w:rPr>
        <w:rStyle w:val="PageNumber"/>
        <w:color w:val="000080"/>
      </w:rPr>
      <w:t>#</w:t>
    </w:r>
    <w:r w:rsidR="00F26589" w:rsidRPr="00574DFE">
      <w:rPr>
        <w:rStyle w:val="PageNumber"/>
        <w:color w:val="000080"/>
      </w:rPr>
      <w:t xml:space="preserve"> 220, Monterey, CA  93940  USA</w:t>
    </w:r>
  </w:p>
  <w:p w:rsidR="00F26589" w:rsidRPr="00574DFE" w:rsidRDefault="00F26589" w:rsidP="00660C1B">
    <w:pPr>
      <w:pStyle w:val="Footer"/>
      <w:spacing w:after="0" w:line="240" w:lineRule="auto"/>
      <w:ind w:right="360"/>
      <w:jc w:val="right"/>
      <w:rPr>
        <w:b/>
        <w:color w:val="000080"/>
      </w:rPr>
    </w:pPr>
    <w:r w:rsidRPr="00574DFE">
      <w:rPr>
        <w:rStyle w:val="PageNumber"/>
        <w:b/>
        <w:color w:val="000080"/>
      </w:rPr>
      <w:t xml:space="preserve">Web: </w:t>
    </w:r>
    <w:r w:rsidRPr="00574DFE">
      <w:rPr>
        <w:rStyle w:val="PageNumber"/>
        <w:color w:val="000080"/>
      </w:rPr>
      <w:t xml:space="preserve">www.tirfonline.org </w:t>
    </w:r>
    <w:r w:rsidRPr="00574DFE">
      <w:rPr>
        <w:rStyle w:val="PageNumber"/>
        <w:b/>
        <w:color w:val="000080"/>
      </w:rPr>
      <w:t xml:space="preserve">/ Email: </w:t>
    </w:r>
    <w:smartTag w:uri="urn:schemas-microsoft-com:office:smarttags" w:element="PersonName">
      <w:r w:rsidRPr="00574DFE">
        <w:rPr>
          <w:rStyle w:val="PageNumber"/>
          <w:color w:val="000080"/>
        </w:rPr>
        <w:t>info@tirfonline.org</w:t>
      </w:r>
    </w:smartTag>
    <w:r w:rsidRPr="00574DFE">
      <w:rPr>
        <w:rStyle w:val="PageNumber"/>
        <w:b/>
        <w:color w:val="0000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DE" w:rsidRDefault="00AA2FDE" w:rsidP="00596494">
      <w:pPr>
        <w:spacing w:after="0" w:line="240" w:lineRule="auto"/>
      </w:pPr>
      <w:r>
        <w:separator/>
      </w:r>
    </w:p>
  </w:footnote>
  <w:footnote w:type="continuationSeparator" w:id="0">
    <w:p w:rsidR="00AA2FDE" w:rsidRDefault="00AA2FDE" w:rsidP="0059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0B7" w:rsidRDefault="00ED40B7" w:rsidP="00ED40B7">
    <w:pPr>
      <w:pStyle w:val="Header"/>
      <w:rPr>
        <w:b/>
        <w:color w:val="000080"/>
        <w:sz w:val="28"/>
        <w:u w:val="single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</w:t>
    </w:r>
    <w:r w:rsidRPr="00044CB8">
      <w:rPr>
        <w:b/>
        <w:color w:val="000080"/>
        <w:sz w:val="28"/>
        <w:u w:val="single"/>
      </w:rPr>
      <w:t>The International Research Foundation</w:t>
    </w:r>
  </w:p>
  <w:p w:rsidR="00ED40B7" w:rsidRPr="009D7061" w:rsidRDefault="00ED40B7" w:rsidP="00ED40B7">
    <w:pPr>
      <w:pStyle w:val="Header"/>
      <w:rPr>
        <w:b/>
        <w:color w:val="000080"/>
        <w:u w:val="single"/>
      </w:rPr>
    </w:pPr>
    <w:r>
      <w:rPr>
        <w:b/>
        <w:color w:val="000080"/>
        <w:sz w:val="28"/>
      </w:rPr>
      <w:t xml:space="preserve">                        </w:t>
    </w:r>
    <w:r w:rsidRPr="009D7061">
      <w:rPr>
        <w:b/>
        <w:color w:val="000080"/>
      </w:rPr>
      <w:t>for English Language Education</w:t>
    </w:r>
  </w:p>
  <w:p w:rsidR="00ED40B7" w:rsidRDefault="00ED40B7">
    <w:pPr>
      <w:pStyle w:val="Header"/>
    </w:pPr>
  </w:p>
  <w:p w:rsidR="00ED40B7" w:rsidRDefault="00ED4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9" w:rsidRPr="00574DFE" w:rsidRDefault="00BA5531" w:rsidP="00472310">
    <w:pPr>
      <w:pStyle w:val="Header"/>
      <w:ind w:left="720"/>
      <w:rPr>
        <w:b/>
        <w:color w:val="000080"/>
        <w:u w:val="single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F26589" w:rsidRPr="00574DFE">
      <w:rPr>
        <w:b/>
        <w:color w:val="000080"/>
      </w:rPr>
      <w:t xml:space="preserve">                 </w:t>
    </w:r>
    <w:r w:rsidR="00F26589" w:rsidRPr="00574DFE">
      <w:rPr>
        <w:b/>
        <w:color w:val="000080"/>
        <w:u w:val="single"/>
      </w:rPr>
      <w:t>The International Research Foundation</w:t>
    </w:r>
  </w:p>
  <w:p w:rsidR="00F26589" w:rsidRPr="00574DFE" w:rsidRDefault="00F26589" w:rsidP="00472310">
    <w:pPr>
      <w:pStyle w:val="Header"/>
      <w:ind w:left="720"/>
      <w:rPr>
        <w:b/>
        <w:color w:val="000080"/>
        <w:u w:val="single"/>
      </w:rPr>
    </w:pPr>
    <w:r w:rsidRPr="00574DFE">
      <w:rPr>
        <w:b/>
        <w:color w:val="000080"/>
      </w:rPr>
      <w:t xml:space="preserve">                 for English Language Education</w:t>
    </w:r>
  </w:p>
  <w:p w:rsidR="00F26589" w:rsidRDefault="00F26589">
    <w:pPr>
      <w:pStyle w:val="Header"/>
    </w:pPr>
  </w:p>
  <w:p w:rsidR="00ED40B7" w:rsidRDefault="00ED4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C682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08C4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727C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FE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EE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86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022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0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004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F12300"/>
    <w:multiLevelType w:val="multilevel"/>
    <w:tmpl w:val="E1AABEBA"/>
    <w:lvl w:ilvl="0">
      <w:start w:val="1"/>
      <w:numFmt w:val="decimal"/>
      <w:pStyle w:val="Heading1"/>
      <w:suff w:val="space"/>
      <w:lvlText w:val="Chapter %1"/>
      <w:lvlJc w:val="left"/>
      <w:pPr>
        <w:ind w:left="439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 w:hint="default"/>
      </w:rPr>
    </w:lvl>
  </w:abstractNum>
  <w:abstractNum w:abstractNumId="11" w15:restartNumberingAfterBreak="0">
    <w:nsid w:val="61F074FC"/>
    <w:multiLevelType w:val="multilevel"/>
    <w:tmpl w:val="A04AB1A0"/>
    <w:lvl w:ilvl="0">
      <w:start w:val="7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6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A3"/>
    <w:rsid w:val="0001462C"/>
    <w:rsid w:val="00020AEB"/>
    <w:rsid w:val="00026BF8"/>
    <w:rsid w:val="00044CB8"/>
    <w:rsid w:val="000668D9"/>
    <w:rsid w:val="000839F1"/>
    <w:rsid w:val="000942CA"/>
    <w:rsid w:val="000A2E14"/>
    <w:rsid w:val="000B4E72"/>
    <w:rsid w:val="000C1852"/>
    <w:rsid w:val="000D0C33"/>
    <w:rsid w:val="000E6C42"/>
    <w:rsid w:val="000F0AE3"/>
    <w:rsid w:val="000F72A1"/>
    <w:rsid w:val="0011295D"/>
    <w:rsid w:val="00113CDF"/>
    <w:rsid w:val="0012428E"/>
    <w:rsid w:val="001265FF"/>
    <w:rsid w:val="001349AA"/>
    <w:rsid w:val="0017760C"/>
    <w:rsid w:val="0019420A"/>
    <w:rsid w:val="001A16AC"/>
    <w:rsid w:val="001A7E07"/>
    <w:rsid w:val="001C2654"/>
    <w:rsid w:val="001D5019"/>
    <w:rsid w:val="001E311F"/>
    <w:rsid w:val="001F6487"/>
    <w:rsid w:val="002024BB"/>
    <w:rsid w:val="002179EE"/>
    <w:rsid w:val="00221B75"/>
    <w:rsid w:val="00236E6A"/>
    <w:rsid w:val="00281B9F"/>
    <w:rsid w:val="00282043"/>
    <w:rsid w:val="00283B1F"/>
    <w:rsid w:val="00296EA0"/>
    <w:rsid w:val="002A156B"/>
    <w:rsid w:val="002A50AB"/>
    <w:rsid w:val="002B23A9"/>
    <w:rsid w:val="002B6A9A"/>
    <w:rsid w:val="002E0C6D"/>
    <w:rsid w:val="002E5F2E"/>
    <w:rsid w:val="00312D9E"/>
    <w:rsid w:val="003237A2"/>
    <w:rsid w:val="003341A4"/>
    <w:rsid w:val="00337470"/>
    <w:rsid w:val="00340753"/>
    <w:rsid w:val="00347F6A"/>
    <w:rsid w:val="00355726"/>
    <w:rsid w:val="00356DC2"/>
    <w:rsid w:val="0037059E"/>
    <w:rsid w:val="003C0DF7"/>
    <w:rsid w:val="003C60D3"/>
    <w:rsid w:val="003C6C63"/>
    <w:rsid w:val="003D4467"/>
    <w:rsid w:val="003D495F"/>
    <w:rsid w:val="00432E54"/>
    <w:rsid w:val="004339F3"/>
    <w:rsid w:val="0043454B"/>
    <w:rsid w:val="0044495A"/>
    <w:rsid w:val="00463B19"/>
    <w:rsid w:val="00472310"/>
    <w:rsid w:val="00472974"/>
    <w:rsid w:val="00487A9F"/>
    <w:rsid w:val="004936BF"/>
    <w:rsid w:val="00496DC9"/>
    <w:rsid w:val="004D0AAB"/>
    <w:rsid w:val="004D0BC7"/>
    <w:rsid w:val="004E77AA"/>
    <w:rsid w:val="00515686"/>
    <w:rsid w:val="00515F41"/>
    <w:rsid w:val="00523C1E"/>
    <w:rsid w:val="00547E88"/>
    <w:rsid w:val="005636F9"/>
    <w:rsid w:val="00563F8C"/>
    <w:rsid w:val="00565686"/>
    <w:rsid w:val="00571C40"/>
    <w:rsid w:val="00574DFE"/>
    <w:rsid w:val="0058214D"/>
    <w:rsid w:val="0058712F"/>
    <w:rsid w:val="00590D4A"/>
    <w:rsid w:val="00596494"/>
    <w:rsid w:val="005A3CBA"/>
    <w:rsid w:val="005C17AB"/>
    <w:rsid w:val="005C19F0"/>
    <w:rsid w:val="005E738A"/>
    <w:rsid w:val="0062568C"/>
    <w:rsid w:val="0065427B"/>
    <w:rsid w:val="00660C1B"/>
    <w:rsid w:val="0066688C"/>
    <w:rsid w:val="00691391"/>
    <w:rsid w:val="006922C0"/>
    <w:rsid w:val="00697135"/>
    <w:rsid w:val="006A3F9C"/>
    <w:rsid w:val="006A4D5F"/>
    <w:rsid w:val="006B0E49"/>
    <w:rsid w:val="006B3488"/>
    <w:rsid w:val="00700CB7"/>
    <w:rsid w:val="007036F7"/>
    <w:rsid w:val="00713354"/>
    <w:rsid w:val="00724681"/>
    <w:rsid w:val="00735451"/>
    <w:rsid w:val="00743443"/>
    <w:rsid w:val="00754F4F"/>
    <w:rsid w:val="007569D4"/>
    <w:rsid w:val="00776F49"/>
    <w:rsid w:val="007A163B"/>
    <w:rsid w:val="007B3D5A"/>
    <w:rsid w:val="007B5641"/>
    <w:rsid w:val="00835515"/>
    <w:rsid w:val="00841817"/>
    <w:rsid w:val="008463C0"/>
    <w:rsid w:val="00853EA1"/>
    <w:rsid w:val="00866AB8"/>
    <w:rsid w:val="00875397"/>
    <w:rsid w:val="008B0720"/>
    <w:rsid w:val="008B6A43"/>
    <w:rsid w:val="008D5C79"/>
    <w:rsid w:val="008E1AEF"/>
    <w:rsid w:val="008E3422"/>
    <w:rsid w:val="008E3FF3"/>
    <w:rsid w:val="0090244A"/>
    <w:rsid w:val="00917CDD"/>
    <w:rsid w:val="009346ED"/>
    <w:rsid w:val="009510C4"/>
    <w:rsid w:val="009A180D"/>
    <w:rsid w:val="009B22B9"/>
    <w:rsid w:val="009C018D"/>
    <w:rsid w:val="009D7061"/>
    <w:rsid w:val="009E13A2"/>
    <w:rsid w:val="009E19CF"/>
    <w:rsid w:val="009E472F"/>
    <w:rsid w:val="00A04833"/>
    <w:rsid w:val="00A13EEE"/>
    <w:rsid w:val="00A253AB"/>
    <w:rsid w:val="00A47858"/>
    <w:rsid w:val="00A80177"/>
    <w:rsid w:val="00A81A39"/>
    <w:rsid w:val="00AA2FDE"/>
    <w:rsid w:val="00AC0533"/>
    <w:rsid w:val="00AD234F"/>
    <w:rsid w:val="00AE09F2"/>
    <w:rsid w:val="00AF74CE"/>
    <w:rsid w:val="00B2477D"/>
    <w:rsid w:val="00B3537A"/>
    <w:rsid w:val="00B5358C"/>
    <w:rsid w:val="00B57734"/>
    <w:rsid w:val="00B650D6"/>
    <w:rsid w:val="00B7085E"/>
    <w:rsid w:val="00BA4509"/>
    <w:rsid w:val="00BA5531"/>
    <w:rsid w:val="00BD24A2"/>
    <w:rsid w:val="00C062CE"/>
    <w:rsid w:val="00C302F8"/>
    <w:rsid w:val="00C42F59"/>
    <w:rsid w:val="00C533B1"/>
    <w:rsid w:val="00C57BC6"/>
    <w:rsid w:val="00C60D42"/>
    <w:rsid w:val="00C90095"/>
    <w:rsid w:val="00CA1A82"/>
    <w:rsid w:val="00CB70A3"/>
    <w:rsid w:val="00CC435C"/>
    <w:rsid w:val="00CC61CF"/>
    <w:rsid w:val="00CF7BBC"/>
    <w:rsid w:val="00D00895"/>
    <w:rsid w:val="00D1132F"/>
    <w:rsid w:val="00D1732F"/>
    <w:rsid w:val="00D5339B"/>
    <w:rsid w:val="00D621A7"/>
    <w:rsid w:val="00D65A45"/>
    <w:rsid w:val="00D835C5"/>
    <w:rsid w:val="00D874C4"/>
    <w:rsid w:val="00D94241"/>
    <w:rsid w:val="00D961F3"/>
    <w:rsid w:val="00DC12CC"/>
    <w:rsid w:val="00DC60C8"/>
    <w:rsid w:val="00DC7A0A"/>
    <w:rsid w:val="00DD5EE8"/>
    <w:rsid w:val="00DF53BF"/>
    <w:rsid w:val="00E0047C"/>
    <w:rsid w:val="00E01CC3"/>
    <w:rsid w:val="00E25BD4"/>
    <w:rsid w:val="00E504ED"/>
    <w:rsid w:val="00E53FF3"/>
    <w:rsid w:val="00E556F4"/>
    <w:rsid w:val="00E71098"/>
    <w:rsid w:val="00E92AA5"/>
    <w:rsid w:val="00E931E0"/>
    <w:rsid w:val="00EA0F31"/>
    <w:rsid w:val="00EA5001"/>
    <w:rsid w:val="00EB3C7B"/>
    <w:rsid w:val="00EB4B85"/>
    <w:rsid w:val="00EB53A3"/>
    <w:rsid w:val="00EB5A01"/>
    <w:rsid w:val="00ED40B7"/>
    <w:rsid w:val="00EF08C5"/>
    <w:rsid w:val="00F06624"/>
    <w:rsid w:val="00F17CDD"/>
    <w:rsid w:val="00F26589"/>
    <w:rsid w:val="00F545B3"/>
    <w:rsid w:val="00F54BA3"/>
    <w:rsid w:val="00F55168"/>
    <w:rsid w:val="00F659A2"/>
    <w:rsid w:val="00F96A47"/>
    <w:rsid w:val="00FA0E32"/>
    <w:rsid w:val="00FC104F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A06990E"/>
  <w15:docId w15:val="{3206886F-E4C1-4E8D-87F4-A957C145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eading1"/>
    <w:qFormat/>
    <w:rsid w:val="00F54BA3"/>
    <w:pPr>
      <w:spacing w:after="200" w:line="36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4BA3"/>
    <w:pPr>
      <w:keepNext/>
      <w:keepLines/>
      <w:numPr>
        <w:numId w:val="3"/>
      </w:numPr>
      <w:spacing w:before="480" w:after="0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4BA3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4BA3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4BA3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4BA3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4BA3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Arial"/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4BA3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Arial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4BA3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Arial"/>
      <w:i/>
      <w:iCs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4BA3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B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4BA3"/>
    <w:rPr>
      <w:rFonts w:ascii="Cambria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4BA3"/>
    <w:rPr>
      <w:rFonts w:ascii="Cambria" w:hAnsi="Cambria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4BA3"/>
    <w:rPr>
      <w:rFonts w:ascii="Calibri" w:hAnsi="Calibri" w:cs="Arial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4BA3"/>
    <w:rPr>
      <w:rFonts w:ascii="Calibri" w:hAnsi="Calibri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4BA3"/>
    <w:rPr>
      <w:rFonts w:ascii="Calibri" w:hAnsi="Calibri" w:cs="Arial"/>
      <w:b/>
      <w:bCs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4BA3"/>
    <w:rPr>
      <w:rFonts w:ascii="Calibri" w:hAnsi="Calibri" w:cs="Arial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4BA3"/>
    <w:rPr>
      <w:rFonts w:ascii="Calibri" w:hAnsi="Calibri" w:cs="Arial"/>
      <w:i/>
      <w:iCs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4BA3"/>
    <w:rPr>
      <w:rFonts w:ascii="Cambria" w:hAnsi="Cambria" w:cs="Times New Roman"/>
      <w:sz w:val="22"/>
      <w:szCs w:val="22"/>
      <w:lang w:eastAsia="en-GB"/>
    </w:rPr>
  </w:style>
  <w:style w:type="paragraph" w:customStyle="1" w:styleId="TableNotes">
    <w:name w:val="TableNotes"/>
    <w:basedOn w:val="Normal"/>
    <w:link w:val="TableNotesChar"/>
    <w:uiPriority w:val="99"/>
    <w:rsid w:val="00724681"/>
    <w:pPr>
      <w:spacing w:after="100" w:afterAutospacing="1"/>
    </w:pPr>
    <w:rPr>
      <w:lang w:val="en-US"/>
    </w:rPr>
  </w:style>
  <w:style w:type="character" w:customStyle="1" w:styleId="TableNotesChar">
    <w:name w:val="TableNotes Char"/>
    <w:basedOn w:val="DefaultParagraphFont"/>
    <w:link w:val="TableNotes"/>
    <w:uiPriority w:val="99"/>
    <w:locked/>
    <w:rsid w:val="00724681"/>
    <w:rPr>
      <w:rFonts w:eastAsia="Times New Roman" w:cs="Times New Roman"/>
      <w:lang w:val="en-US"/>
    </w:rPr>
  </w:style>
  <w:style w:type="paragraph" w:customStyle="1" w:styleId="ChpHeadings">
    <w:name w:val="ChpHeadings"/>
    <w:basedOn w:val="Normal"/>
    <w:link w:val="ChpHeadingsChar"/>
    <w:uiPriority w:val="99"/>
    <w:rsid w:val="00C60D42"/>
    <w:pPr>
      <w:spacing w:after="100" w:afterAutospacing="1" w:line="480" w:lineRule="auto"/>
      <w:ind w:left="1222" w:hanging="360"/>
    </w:pPr>
    <w:rPr>
      <w:b/>
      <w:bCs/>
      <w:lang w:val="en-US"/>
    </w:rPr>
  </w:style>
  <w:style w:type="character" w:customStyle="1" w:styleId="ChpHeadingsChar">
    <w:name w:val="ChpHeadings Char"/>
    <w:basedOn w:val="DefaultParagraphFont"/>
    <w:link w:val="ChpHeadings"/>
    <w:uiPriority w:val="99"/>
    <w:locked/>
    <w:rsid w:val="00C60D42"/>
    <w:rPr>
      <w:rFonts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rsid w:val="00F5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BA3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rsid w:val="00F54BA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locked/>
    <w:rsid w:val="00C06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0895"/>
    <w:rPr>
      <w:rFonts w:cs="Times New Roman"/>
      <w:sz w:val="24"/>
      <w:szCs w:val="24"/>
      <w:lang w:val="en-GB" w:eastAsia="en-US" w:bidi="ar-SA"/>
    </w:rPr>
  </w:style>
  <w:style w:type="character" w:styleId="PageNumber">
    <w:name w:val="page number"/>
    <w:basedOn w:val="DefaultParagraphFont"/>
    <w:uiPriority w:val="99"/>
    <w:locked/>
    <w:rsid w:val="00D00895"/>
    <w:rPr>
      <w:rFonts w:cs="Times New Roman"/>
    </w:rPr>
  </w:style>
  <w:style w:type="character" w:customStyle="1" w:styleId="apple-converted-space">
    <w:name w:val="apple-converted-space"/>
    <w:basedOn w:val="DefaultParagraphFont"/>
    <w:rsid w:val="00FC104F"/>
  </w:style>
  <w:style w:type="character" w:customStyle="1" w:styleId="fontstyle13">
    <w:name w:val="fontstyle13"/>
    <w:basedOn w:val="DefaultParagraphFont"/>
    <w:rsid w:val="00FC104F"/>
  </w:style>
  <w:style w:type="character" w:customStyle="1" w:styleId="fontstyle14">
    <w:name w:val="fontstyle14"/>
    <w:basedOn w:val="DefaultParagraphFont"/>
    <w:rsid w:val="00FC104F"/>
  </w:style>
  <w:style w:type="paragraph" w:styleId="NormalWeb">
    <w:name w:val="Normal (Web)"/>
    <w:basedOn w:val="Normal"/>
    <w:uiPriority w:val="99"/>
    <w:unhideWhenUsed/>
    <w:locked/>
    <w:rsid w:val="00340753"/>
    <w:pPr>
      <w:spacing w:before="100" w:beforeAutospacing="1" w:after="100" w:afterAutospacing="1" w:line="480" w:lineRule="auto"/>
    </w:pPr>
    <w:rPr>
      <w:rFonts w:eastAsia="Times New Roman"/>
      <w:lang w:val="en-US"/>
    </w:rPr>
  </w:style>
  <w:style w:type="character" w:customStyle="1" w:styleId="citation">
    <w:name w:val="citation"/>
    <w:basedOn w:val="DefaultParagraphFont"/>
    <w:rsid w:val="002A50AB"/>
  </w:style>
  <w:style w:type="character" w:customStyle="1" w:styleId="ref-journal">
    <w:name w:val="ref-journal"/>
    <w:basedOn w:val="DefaultParagraphFont"/>
    <w:rsid w:val="002A50AB"/>
  </w:style>
  <w:style w:type="character" w:customStyle="1" w:styleId="ref-vol">
    <w:name w:val="ref-vol"/>
    <w:basedOn w:val="DefaultParagraphFont"/>
    <w:rsid w:val="002A50AB"/>
  </w:style>
  <w:style w:type="character" w:styleId="Emphasis">
    <w:name w:val="Emphasis"/>
    <w:basedOn w:val="DefaultParagraphFont"/>
    <w:uiPriority w:val="20"/>
    <w:qFormat/>
    <w:locked/>
    <w:rsid w:val="008D5C79"/>
    <w:rPr>
      <w:i/>
      <w:iCs/>
    </w:rPr>
  </w:style>
  <w:style w:type="paragraph" w:styleId="NoSpacing">
    <w:name w:val="No Spacing"/>
    <w:uiPriority w:val="1"/>
    <w:qFormat/>
    <w:rsid w:val="009E472F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B4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B4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E7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B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E7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7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>Monterey Institute of International Studies</Company>
  <LinksUpToDate>false</LinksUpToDate>
  <CharactersWithSpaces>27423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creator>Kathi Bailey</dc:creator>
  <cp:lastModifiedBy>Bailey, Kathleen</cp:lastModifiedBy>
  <cp:revision>5</cp:revision>
  <dcterms:created xsi:type="dcterms:W3CDTF">2018-10-20T17:10:00Z</dcterms:created>
  <dcterms:modified xsi:type="dcterms:W3CDTF">2018-10-20T17:13:00Z</dcterms:modified>
</cp:coreProperties>
</file>