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279A" w14:textId="74D057C6" w:rsidR="0039469B" w:rsidRPr="0003212A" w:rsidRDefault="00407D45" w:rsidP="001F10E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2A">
        <w:rPr>
          <w:rFonts w:ascii="Times New Roman" w:hAnsi="Times New Roman" w:cs="Times New Roman"/>
          <w:b/>
          <w:sz w:val="24"/>
          <w:szCs w:val="24"/>
          <w:u w:val="single"/>
        </w:rPr>
        <w:t>METAPHOR: SELECTED R</w:t>
      </w:r>
      <w:r w:rsidR="00EB6E67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03212A">
        <w:rPr>
          <w:rFonts w:ascii="Times New Roman" w:hAnsi="Times New Roman" w:cs="Times New Roman"/>
          <w:b/>
          <w:sz w:val="24"/>
          <w:szCs w:val="24"/>
          <w:u w:val="single"/>
        </w:rPr>
        <w:t>FERENCES</w:t>
      </w:r>
    </w:p>
    <w:p w14:paraId="42828C69" w14:textId="1431B17A" w:rsidR="00EB6E67" w:rsidRDefault="00407D45" w:rsidP="001F10E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12A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7217E9">
        <w:rPr>
          <w:rFonts w:ascii="Times New Roman" w:hAnsi="Times New Roman" w:cs="Times New Roman"/>
          <w:b/>
          <w:sz w:val="24"/>
          <w:szCs w:val="24"/>
        </w:rPr>
        <w:t>2</w:t>
      </w:r>
      <w:r w:rsidR="00EB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7E9">
        <w:rPr>
          <w:rFonts w:ascii="Times New Roman" w:hAnsi="Times New Roman" w:cs="Times New Roman"/>
          <w:b/>
          <w:sz w:val="24"/>
          <w:szCs w:val="24"/>
        </w:rPr>
        <w:t>November</w:t>
      </w:r>
      <w:r w:rsidR="00EB6E67">
        <w:rPr>
          <w:rFonts w:ascii="Times New Roman" w:hAnsi="Times New Roman" w:cs="Times New Roman"/>
          <w:b/>
          <w:sz w:val="24"/>
          <w:szCs w:val="24"/>
        </w:rPr>
        <w:t xml:space="preserve"> 2022)</w:t>
      </w:r>
    </w:p>
    <w:p w14:paraId="5172431A" w14:textId="77777777" w:rsidR="001F10EF" w:rsidRDefault="001F10EF" w:rsidP="001F10E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153F5" w14:textId="77777777" w:rsidR="001F10EF" w:rsidRDefault="001F10EF" w:rsidP="008E215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8292679"/>
      <w:r w:rsidRPr="001F10EF">
        <w:rPr>
          <w:rFonts w:ascii="Times New Roman" w:hAnsi="Times New Roman" w:cs="Times New Roman"/>
          <w:sz w:val="24"/>
          <w:szCs w:val="24"/>
        </w:rPr>
        <w:t xml:space="preserve">Achugar, M. (2001). </w:t>
      </w:r>
      <w:proofErr w:type="spellStart"/>
      <w:r w:rsidRPr="001F10EF">
        <w:rPr>
          <w:rFonts w:ascii="Times New Roman" w:hAnsi="Times New Roman" w:cs="Times New Roman"/>
          <w:sz w:val="24"/>
          <w:szCs w:val="24"/>
        </w:rPr>
        <w:t>Piropos</w:t>
      </w:r>
      <w:proofErr w:type="spellEnd"/>
      <w:r w:rsidRPr="001F10EF">
        <w:rPr>
          <w:rFonts w:ascii="Times New Roman" w:hAnsi="Times New Roman" w:cs="Times New Roman"/>
          <w:sz w:val="24"/>
          <w:szCs w:val="24"/>
        </w:rPr>
        <w:t xml:space="preserve"> as metaphors for gender roles in Spanish speaking cultures. </w:t>
      </w:r>
      <w:r w:rsidRPr="001F10EF">
        <w:rPr>
          <w:rFonts w:ascii="Times New Roman" w:hAnsi="Times New Roman" w:cs="Times New Roman"/>
          <w:i/>
          <w:iCs/>
          <w:sz w:val="24"/>
          <w:szCs w:val="24"/>
        </w:rPr>
        <w:t>Pragmatics, 11</w:t>
      </w:r>
      <w:r w:rsidRPr="001F10EF">
        <w:rPr>
          <w:rFonts w:ascii="Times New Roman" w:hAnsi="Times New Roman" w:cs="Times New Roman"/>
          <w:sz w:val="24"/>
          <w:szCs w:val="24"/>
        </w:rPr>
        <w:t>(2), 127-137.</w:t>
      </w:r>
    </w:p>
    <w:p w14:paraId="169386F8" w14:textId="161FC410" w:rsidR="008C1C00" w:rsidRPr="008C1C00" w:rsidRDefault="008C1C00" w:rsidP="008E215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Ahlgren, K., Golden, A., &amp; Magnusson, U. </w:t>
      </w:r>
      <w:r w:rsidR="0020369F">
        <w:rPr>
          <w:rFonts w:ascii="Times New Roman" w:hAnsi="Times New Roman" w:cs="Times New Roman"/>
          <w:sz w:val="24"/>
          <w:szCs w:val="24"/>
        </w:rPr>
        <w:t xml:space="preserve">(2021). </w:t>
      </w:r>
      <w:r>
        <w:rPr>
          <w:rFonts w:ascii="Times New Roman" w:hAnsi="Times New Roman" w:cs="Times New Roman"/>
          <w:sz w:val="24"/>
          <w:szCs w:val="24"/>
        </w:rPr>
        <w:t xml:space="preserve">Metaphor in language education: A multilingual and Scandinavian perspective. </w:t>
      </w:r>
      <w:r>
        <w:rPr>
          <w:rFonts w:ascii="Times New Roman" w:hAnsi="Times New Roman" w:cs="Times New Roman"/>
          <w:i/>
          <w:iCs/>
          <w:sz w:val="24"/>
          <w:szCs w:val="24"/>
        </w:rPr>
        <w:t>Metaphor and the Social World, 11</w:t>
      </w:r>
      <w:r>
        <w:rPr>
          <w:rFonts w:ascii="Times New Roman" w:hAnsi="Times New Roman" w:cs="Times New Roman"/>
          <w:sz w:val="24"/>
          <w:szCs w:val="24"/>
        </w:rPr>
        <w:t xml:space="preserve">(2), 196-211. </w:t>
      </w:r>
      <w:r w:rsidRPr="008C1C00">
        <w:rPr>
          <w:rFonts w:ascii="Times New Roman" w:hAnsi="Times New Roman" w:cs="Times New Roman"/>
          <w:sz w:val="24"/>
          <w:szCs w:val="24"/>
        </w:rPr>
        <w:t>https://doi.org/10.1075/msw.00015.ahl</w:t>
      </w:r>
    </w:p>
    <w:bookmarkEnd w:id="0"/>
    <w:p w14:paraId="64094D75" w14:textId="3CD532E3" w:rsidR="008C1C00" w:rsidRPr="008C1C00" w:rsidRDefault="007F12DA" w:rsidP="008C1C00">
      <w:pPr>
        <w:pStyle w:val="BodyText"/>
        <w:ind w:left="720" w:hanging="720"/>
        <w:rPr>
          <w:color w:val="2D414F"/>
        </w:rPr>
      </w:pPr>
      <w:r w:rsidRPr="0003212A">
        <w:rPr>
          <w:color w:val="2D414F"/>
        </w:rPr>
        <w:t>Alger. C. (2009). Secondary teachers’ conceptual metaphors of teaching and</w:t>
      </w:r>
      <w:r w:rsidRPr="0003212A">
        <w:rPr>
          <w:color w:val="2D414F"/>
          <w:spacing w:val="1"/>
        </w:rPr>
        <w:t xml:space="preserve"> </w:t>
      </w:r>
      <w:r w:rsidRPr="0003212A">
        <w:rPr>
          <w:color w:val="2D414F"/>
        </w:rPr>
        <w:t>learning:</w:t>
      </w:r>
      <w:r w:rsidRPr="0003212A">
        <w:rPr>
          <w:color w:val="2D414F"/>
          <w:spacing w:val="-2"/>
        </w:rPr>
        <w:t xml:space="preserve"> </w:t>
      </w:r>
      <w:r w:rsidRPr="0003212A">
        <w:rPr>
          <w:color w:val="2D414F"/>
        </w:rPr>
        <w:t>Changes</w:t>
      </w:r>
      <w:r w:rsidRPr="0003212A">
        <w:rPr>
          <w:color w:val="2D414F"/>
          <w:spacing w:val="-2"/>
        </w:rPr>
        <w:t xml:space="preserve"> </w:t>
      </w:r>
      <w:r w:rsidRPr="0003212A">
        <w:rPr>
          <w:color w:val="2D414F"/>
        </w:rPr>
        <w:t>over</w:t>
      </w:r>
      <w:r w:rsidRPr="0003212A">
        <w:rPr>
          <w:color w:val="2D414F"/>
          <w:spacing w:val="-1"/>
        </w:rPr>
        <w:t xml:space="preserve"> </w:t>
      </w:r>
      <w:r w:rsidRPr="0003212A">
        <w:rPr>
          <w:color w:val="2D414F"/>
        </w:rPr>
        <w:t>the</w:t>
      </w:r>
      <w:r w:rsidRPr="0003212A">
        <w:rPr>
          <w:color w:val="2D414F"/>
          <w:spacing w:val="-4"/>
        </w:rPr>
        <w:t xml:space="preserve"> </w:t>
      </w:r>
      <w:r w:rsidRPr="0003212A">
        <w:rPr>
          <w:color w:val="2D414F"/>
        </w:rPr>
        <w:t>career</w:t>
      </w:r>
      <w:r w:rsidRPr="0003212A">
        <w:rPr>
          <w:color w:val="2D414F"/>
          <w:spacing w:val="-2"/>
        </w:rPr>
        <w:t xml:space="preserve"> </w:t>
      </w:r>
      <w:r w:rsidRPr="0003212A">
        <w:rPr>
          <w:color w:val="2D414F"/>
        </w:rPr>
        <w:t>span.</w:t>
      </w:r>
      <w:r w:rsidRPr="0003212A">
        <w:rPr>
          <w:color w:val="2D414F"/>
          <w:spacing w:val="1"/>
        </w:rPr>
        <w:t xml:space="preserve"> </w:t>
      </w:r>
      <w:r w:rsidRPr="0003212A">
        <w:rPr>
          <w:i/>
          <w:color w:val="2D414F"/>
        </w:rPr>
        <w:t>Teaching and</w:t>
      </w:r>
      <w:r w:rsidRPr="0003212A">
        <w:rPr>
          <w:i/>
          <w:color w:val="2D414F"/>
          <w:spacing w:val="-2"/>
        </w:rPr>
        <w:t xml:space="preserve"> </w:t>
      </w:r>
      <w:r w:rsidRPr="0003212A">
        <w:rPr>
          <w:i/>
          <w:color w:val="2D414F"/>
        </w:rPr>
        <w:t>Teacher</w:t>
      </w:r>
      <w:r w:rsidRPr="0003212A">
        <w:rPr>
          <w:i/>
          <w:color w:val="2D414F"/>
          <w:spacing w:val="-1"/>
        </w:rPr>
        <w:t xml:space="preserve"> </w:t>
      </w:r>
      <w:r w:rsidRPr="0003212A">
        <w:rPr>
          <w:i/>
          <w:color w:val="2D414F"/>
        </w:rPr>
        <w:t>Education</w:t>
      </w:r>
      <w:r w:rsidRPr="0003212A">
        <w:rPr>
          <w:i/>
          <w:color w:val="2D414F"/>
          <w:spacing w:val="-57"/>
        </w:rPr>
        <w:t xml:space="preserve"> , </w:t>
      </w:r>
      <w:r w:rsidRPr="0003212A">
        <w:rPr>
          <w:color w:val="2D414F"/>
        </w:rPr>
        <w:t xml:space="preserve">, </w:t>
      </w:r>
      <w:r w:rsidRPr="0003212A">
        <w:rPr>
          <w:i/>
          <w:iCs/>
          <w:color w:val="2D414F"/>
        </w:rPr>
        <w:t>25</w:t>
      </w:r>
      <w:r w:rsidRPr="0003212A">
        <w:rPr>
          <w:color w:val="2D414F"/>
        </w:rPr>
        <w:t>, 743-751.</w:t>
      </w:r>
      <w:bookmarkStart w:id="1" w:name="_Hlk112664442"/>
    </w:p>
    <w:p w14:paraId="560F3708" w14:textId="77777777" w:rsidR="008C1C00" w:rsidRDefault="008C1C00" w:rsidP="008E215B">
      <w:pPr>
        <w:pStyle w:val="BodyText"/>
        <w:ind w:left="720" w:hanging="720"/>
      </w:pPr>
    </w:p>
    <w:p w14:paraId="5BC2F1BA" w14:textId="53ED6A2E" w:rsidR="008E215B" w:rsidRDefault="008E215B" w:rsidP="008E215B">
      <w:pPr>
        <w:pStyle w:val="BodyText"/>
        <w:ind w:left="720" w:hanging="720"/>
      </w:pPr>
      <w:r w:rsidRPr="006529E7">
        <w:t xml:space="preserve">Andreou, G., &amp; </w:t>
      </w:r>
      <w:proofErr w:type="spellStart"/>
      <w:r w:rsidRPr="006529E7">
        <w:t>Galantomos</w:t>
      </w:r>
      <w:proofErr w:type="spellEnd"/>
      <w:r w:rsidRPr="006529E7">
        <w:t xml:space="preserve">, L. (2008). Designing a conceptual syllabus for teaching metaphors and idioms in a foreign language context. </w:t>
      </w:r>
      <w:r w:rsidRPr="006529E7">
        <w:rPr>
          <w:i/>
          <w:iCs/>
        </w:rPr>
        <w:t xml:space="preserve">Porta </w:t>
      </w:r>
      <w:proofErr w:type="spellStart"/>
      <w:r w:rsidRPr="006529E7">
        <w:rPr>
          <w:i/>
          <w:iCs/>
        </w:rPr>
        <w:t>Linguarum</w:t>
      </w:r>
      <w:proofErr w:type="spellEnd"/>
      <w:r w:rsidRPr="006529E7">
        <w:rPr>
          <w:i/>
          <w:iCs/>
        </w:rPr>
        <w:t xml:space="preserve">: </w:t>
      </w:r>
      <w:proofErr w:type="spellStart"/>
      <w:r w:rsidRPr="006529E7">
        <w:rPr>
          <w:i/>
          <w:iCs/>
        </w:rPr>
        <w:t>Revista</w:t>
      </w:r>
      <w:proofErr w:type="spellEnd"/>
      <w:r w:rsidRPr="006529E7">
        <w:rPr>
          <w:i/>
          <w:iCs/>
        </w:rPr>
        <w:t xml:space="preserve"> </w:t>
      </w:r>
      <w:proofErr w:type="spellStart"/>
      <w:r w:rsidRPr="006529E7">
        <w:rPr>
          <w:i/>
          <w:iCs/>
        </w:rPr>
        <w:t>Internacional</w:t>
      </w:r>
      <w:proofErr w:type="spellEnd"/>
      <w:r w:rsidRPr="006529E7">
        <w:rPr>
          <w:i/>
          <w:iCs/>
        </w:rPr>
        <w:t xml:space="preserve"> de </w:t>
      </w:r>
      <w:proofErr w:type="spellStart"/>
      <w:r w:rsidRPr="006529E7">
        <w:rPr>
          <w:i/>
          <w:iCs/>
        </w:rPr>
        <w:t>Didáctica</w:t>
      </w:r>
      <w:proofErr w:type="spellEnd"/>
      <w:r w:rsidRPr="006529E7">
        <w:rPr>
          <w:i/>
          <w:iCs/>
        </w:rPr>
        <w:t xml:space="preserve"> de las </w:t>
      </w:r>
      <w:proofErr w:type="spellStart"/>
      <w:r w:rsidRPr="006529E7">
        <w:rPr>
          <w:i/>
          <w:iCs/>
        </w:rPr>
        <w:t>Lenguas</w:t>
      </w:r>
      <w:proofErr w:type="spellEnd"/>
      <w:r w:rsidRPr="006529E7">
        <w:rPr>
          <w:i/>
          <w:iCs/>
        </w:rPr>
        <w:t xml:space="preserve"> </w:t>
      </w:r>
      <w:proofErr w:type="spellStart"/>
      <w:r w:rsidRPr="006529E7">
        <w:rPr>
          <w:i/>
          <w:iCs/>
        </w:rPr>
        <w:t>Extranjeras</w:t>
      </w:r>
      <w:proofErr w:type="spellEnd"/>
      <w:r w:rsidRPr="006529E7">
        <w:t xml:space="preserve">, </w:t>
      </w:r>
      <w:r w:rsidRPr="006529E7">
        <w:rPr>
          <w:i/>
          <w:iCs/>
        </w:rPr>
        <w:t>9</w:t>
      </w:r>
      <w:r w:rsidRPr="006529E7">
        <w:t xml:space="preserve">, 69-78.  </w:t>
      </w:r>
      <w:hyperlink r:id="rId6" w:history="1">
        <w:r w:rsidRPr="006529E7">
          <w:rPr>
            <w:rStyle w:val="Hyperlink"/>
          </w:rPr>
          <w:t>https://dialnet.unirioja.es/descarga/articulo/2530647.pdf</w:t>
        </w:r>
      </w:hyperlink>
      <w:bookmarkEnd w:id="1"/>
      <w:r w:rsidRPr="006529E7">
        <w:t xml:space="preserve">  </w:t>
      </w:r>
    </w:p>
    <w:p w14:paraId="02564644" w14:textId="77777777" w:rsidR="008E215B" w:rsidRPr="0003212A" w:rsidRDefault="008E215B" w:rsidP="008E215B">
      <w:pPr>
        <w:pStyle w:val="BodyText"/>
        <w:ind w:left="720" w:hanging="720"/>
      </w:pPr>
    </w:p>
    <w:p w14:paraId="62F012A5" w14:textId="636B2009" w:rsidR="00EE753C" w:rsidRPr="00EE753C" w:rsidRDefault="00EE753C" w:rsidP="008E215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753C">
        <w:rPr>
          <w:rFonts w:ascii="Times New Roman" w:eastAsia="Times New Roman" w:hAnsi="Times New Roman" w:cs="Times New Roman"/>
          <w:sz w:val="24"/>
          <w:szCs w:val="24"/>
        </w:rPr>
        <w:t xml:space="preserve">Armstrong, S. L., Davis, H. S., &amp; Paulson, E. J. (2011). The subjectivity problem: Improving triangulation approaches in metaphor analysis studies. </w:t>
      </w:r>
      <w:r w:rsidRPr="00EE753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EE7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753C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E753C">
        <w:rPr>
          <w:rFonts w:ascii="Times New Roman" w:eastAsia="Times New Roman" w:hAnsi="Times New Roman" w:cs="Times New Roman"/>
          <w:sz w:val="24"/>
          <w:szCs w:val="24"/>
        </w:rPr>
        <w:t>(2), 151-163.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03212A">
          <w:rPr>
            <w:rStyle w:val="Hyperlink"/>
            <w:rFonts w:ascii="Times New Roman" w:hAnsi="Times New Roman" w:cs="Times New Roman"/>
            <w:color w:val="006ACC"/>
            <w:sz w:val="24"/>
            <w:szCs w:val="24"/>
          </w:rPr>
          <w:t>https://doi.org/10.1177/160940691101000204</w:t>
        </w:r>
      </w:hyperlink>
    </w:p>
    <w:p w14:paraId="48997C6C" w14:textId="77777777" w:rsidR="00EE753C" w:rsidRPr="0003212A" w:rsidRDefault="00EE753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BCED36" w14:textId="3A7BE541" w:rsidR="00FD77C2" w:rsidRPr="0003212A" w:rsidRDefault="00FD77C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Barnes, T. J., &amp; Duncan, J. S. (2013).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Writing worlds: discourse, </w:t>
      </w:r>
      <w:proofErr w:type="gramStart"/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text</w:t>
      </w:r>
      <w:proofErr w:type="gramEnd"/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metaphor in the representation of landscape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AE4EA7F" w14:textId="77777777" w:rsidR="00FD77C2" w:rsidRPr="0003212A" w:rsidRDefault="00FD77C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FF2AD0" w14:textId="7AA44C78" w:rsidR="00BE4D3E" w:rsidRPr="00BE4D3E" w:rsidRDefault="00460C51" w:rsidP="00BE4D3E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Block, D. (1999). Who framed SLA research? Problem framing and metaphoric accounts of the SLA research process.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135-148).  Cambridge University Press. </w:t>
      </w:r>
    </w:p>
    <w:p w14:paraId="3A5DC4F2" w14:textId="020E7730" w:rsidR="00EE75B3" w:rsidRPr="0003212A" w:rsidRDefault="00EE75B3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Boers, F. (2000). Metaphor awareness and vocabulary retention. </w:t>
      </w:r>
      <w:r w:rsidR="009D7826"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(4), 553-571.</w:t>
      </w:r>
    </w:p>
    <w:p w14:paraId="3A595580" w14:textId="110A758F" w:rsidR="00EE75B3" w:rsidRDefault="00EE75B3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CA113" w14:textId="52746EED" w:rsidR="00ED0BE2" w:rsidRPr="00ED0BE2" w:rsidRDefault="00ED0BE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8292702"/>
      <w:r>
        <w:rPr>
          <w:rFonts w:ascii="Times New Roman" w:eastAsia="Times New Roman" w:hAnsi="Times New Roman" w:cs="Times New Roman"/>
          <w:sz w:val="24"/>
          <w:szCs w:val="24"/>
        </w:rPr>
        <w:t xml:space="preserve">Boers, F. (2009). Applied linguistics perspectives on cross-cultural variation in conceptual metaphor.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Symbol,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231-238. </w:t>
      </w:r>
      <w:r w:rsidRPr="00ED0BE2">
        <w:rPr>
          <w:rFonts w:ascii="Times New Roman" w:eastAsia="Times New Roman" w:hAnsi="Times New Roman" w:cs="Times New Roman"/>
          <w:sz w:val="24"/>
          <w:szCs w:val="24"/>
        </w:rPr>
        <w:t>https://doi.org/10.1016/j.sbspro.2012.05.143</w:t>
      </w:r>
    </w:p>
    <w:bookmarkEnd w:id="2"/>
    <w:p w14:paraId="164A1B6D" w14:textId="77777777" w:rsidR="00ED0BE2" w:rsidRDefault="00ED0BE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2C47D5" w14:textId="1D8A385D" w:rsidR="002F7FF7" w:rsidRDefault="002F7FF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284895"/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>(11), 2669-2683.</w:t>
      </w:r>
      <w:bookmarkEnd w:id="3"/>
    </w:p>
    <w:p w14:paraId="5AA11110" w14:textId="77777777" w:rsidR="002F7FF7" w:rsidRPr="0003212A" w:rsidRDefault="002F7FF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C39150" w14:textId="77777777" w:rsidR="00232C55" w:rsidRPr="0003212A" w:rsidRDefault="00232C55" w:rsidP="0003212A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03212A">
        <w:rPr>
          <w:rFonts w:ascii="Times New Roman" w:eastAsia="Cambria" w:hAnsi="Times New Roman" w:cs="Times New Roman"/>
          <w:sz w:val="24"/>
          <w:szCs w:val="24"/>
        </w:rPr>
        <w:t xml:space="preserve">Boroditsky, L. (2000). Metaphoric structuring: Understanding time through spatial metaphors. </w:t>
      </w:r>
      <w:r w:rsidRPr="0003212A">
        <w:rPr>
          <w:rFonts w:ascii="Times New Roman" w:eastAsia="Cambria" w:hAnsi="Times New Roman" w:cs="Times New Roman"/>
          <w:i/>
          <w:sz w:val="24"/>
          <w:szCs w:val="24"/>
        </w:rPr>
        <w:t>Cognition</w:t>
      </w:r>
      <w:r w:rsidRPr="0003212A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Cambria" w:hAnsi="Times New Roman" w:cs="Times New Roman"/>
          <w:i/>
          <w:sz w:val="24"/>
          <w:szCs w:val="24"/>
        </w:rPr>
        <w:t>75</w:t>
      </w:r>
      <w:r w:rsidRPr="0003212A">
        <w:rPr>
          <w:rFonts w:ascii="Times New Roman" w:eastAsia="Cambria" w:hAnsi="Times New Roman" w:cs="Times New Roman"/>
          <w:sz w:val="24"/>
          <w:szCs w:val="24"/>
        </w:rPr>
        <w:t>(1), 1-28.</w:t>
      </w:r>
    </w:p>
    <w:p w14:paraId="493CBF08" w14:textId="57AA2DC9" w:rsidR="00C23CB9" w:rsidRDefault="000D66FD" w:rsidP="00B64077">
      <w:pPr>
        <w:pStyle w:val="BodyText"/>
        <w:spacing w:before="90"/>
        <w:ind w:left="720" w:hanging="720"/>
      </w:pPr>
      <w:bookmarkStart w:id="4" w:name="_Hlk497628979"/>
      <w:r>
        <w:t xml:space="preserve">Botha, E. (2009). Why metaphor matters in education. </w:t>
      </w:r>
      <w:r>
        <w:rPr>
          <w:i/>
          <w:iCs/>
        </w:rPr>
        <w:t>South African Journal of Education, 29</w:t>
      </w:r>
      <w:r>
        <w:t>(4), 431-444.</w:t>
      </w:r>
    </w:p>
    <w:p w14:paraId="5FB264B4" w14:textId="77777777" w:rsidR="00C23CB9" w:rsidRDefault="00C23CB9" w:rsidP="00B64077">
      <w:pPr>
        <w:pStyle w:val="BodyText"/>
        <w:spacing w:before="90"/>
        <w:ind w:left="720" w:hanging="720"/>
      </w:pPr>
    </w:p>
    <w:p w14:paraId="1A7F5F09" w14:textId="3A796F5F" w:rsidR="00ED7534" w:rsidRDefault="0046498F" w:rsidP="00B64077">
      <w:pPr>
        <w:pStyle w:val="BodyText"/>
        <w:spacing w:before="90"/>
        <w:ind w:left="720" w:hanging="720"/>
        <w:rPr>
          <w:rStyle w:val="Hyperlink"/>
        </w:rPr>
      </w:pPr>
      <w:r w:rsidRPr="0003212A">
        <w:t>Buchanan, J. (2015). Metaphors as two-way mirrors: Illuminating pre-service to</w:t>
      </w:r>
      <w:r w:rsidR="00202B9F">
        <w:t xml:space="preserve"> </w:t>
      </w:r>
      <w:r w:rsidRPr="0003212A">
        <w:rPr>
          <w:spacing w:val="-57"/>
        </w:rPr>
        <w:t xml:space="preserve"> </w:t>
      </w:r>
      <w:r w:rsidRPr="0003212A">
        <w:t xml:space="preserve">in-service </w:t>
      </w:r>
      <w:r w:rsidRPr="0003212A">
        <w:lastRenderedPageBreak/>
        <w:t xml:space="preserve">teacher identity development. </w:t>
      </w:r>
      <w:r w:rsidRPr="0003212A">
        <w:rPr>
          <w:i/>
        </w:rPr>
        <w:t>Australian Journal of Teacher</w:t>
      </w:r>
      <w:r w:rsidRPr="0003212A">
        <w:rPr>
          <w:i/>
          <w:spacing w:val="1"/>
        </w:rPr>
        <w:t xml:space="preserve"> </w:t>
      </w:r>
      <w:r w:rsidRPr="0003212A">
        <w:rPr>
          <w:i/>
        </w:rPr>
        <w:t>Education,</w:t>
      </w:r>
      <w:r w:rsidRPr="0003212A">
        <w:rPr>
          <w:i/>
          <w:spacing w:val="-1"/>
        </w:rPr>
        <w:t xml:space="preserve"> </w:t>
      </w:r>
      <w:r w:rsidRPr="0046498F">
        <w:rPr>
          <w:i/>
          <w:iCs/>
        </w:rPr>
        <w:t>40</w:t>
      </w:r>
      <w:r w:rsidRPr="0046498F">
        <w:t>(10), 3</w:t>
      </w:r>
      <w:r w:rsidRPr="0003212A">
        <w:t>3-50</w:t>
      </w:r>
      <w:r w:rsidRPr="0046498F">
        <w:t>.</w:t>
      </w:r>
      <w:r w:rsidRPr="0003212A">
        <w:t xml:space="preserve"> </w:t>
      </w:r>
      <w:hyperlink r:id="rId8" w:history="1">
        <w:r w:rsidRPr="0003212A">
          <w:rPr>
            <w:rStyle w:val="Hyperlink"/>
          </w:rPr>
          <w:t>http://dx.doi.org/10.14221/ajte.2015v40n10.3</w:t>
        </w:r>
      </w:hyperlink>
    </w:p>
    <w:p w14:paraId="601719FC" w14:textId="77777777" w:rsidR="00B64077" w:rsidRPr="00B64077" w:rsidRDefault="00B64077" w:rsidP="00B64077">
      <w:pPr>
        <w:pStyle w:val="BodyText"/>
        <w:spacing w:before="90"/>
        <w:ind w:left="720" w:hanging="720"/>
      </w:pPr>
    </w:p>
    <w:p w14:paraId="61AE0641" w14:textId="298CD2CA" w:rsidR="00B577C0" w:rsidRPr="0003212A" w:rsidRDefault="00B577C0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  <w:u w:color="000000"/>
        </w:rPr>
        <w:t>Byrnes, H. (2009).  Emergent L2 German writing ability in a curricular context: A longitudinal study of grammatical metaphor.</w:t>
      </w:r>
      <w:r w:rsidRPr="0003212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Linguistics and Education, 20</w:t>
      </w:r>
      <w:r w:rsidRPr="0003212A">
        <w:rPr>
          <w:rFonts w:ascii="Times New Roman" w:hAnsi="Times New Roman" w:cs="Times New Roman"/>
          <w:sz w:val="24"/>
          <w:szCs w:val="24"/>
          <w:u w:color="000000"/>
        </w:rPr>
        <w:t>(1), 50-66.</w:t>
      </w:r>
      <w:bookmarkEnd w:id="4"/>
      <w:r w:rsidRPr="0003212A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</w:p>
    <w:p w14:paraId="1031E452" w14:textId="524EC720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Cameron, L. (1999). Identifying and describing metaphor in spoken discourse.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105-132).  Cambridge University Press. </w:t>
      </w:r>
    </w:p>
    <w:p w14:paraId="6510E8F1" w14:textId="3339EB98" w:rsidR="00460C51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Cameron, L. (1999). Operationalizing ‘metaphor’ for applied linguistics research.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3-28).  Cambridge University Press. </w:t>
      </w:r>
    </w:p>
    <w:p w14:paraId="67B49AFB" w14:textId="020F7CA9" w:rsidR="004C6CC0" w:rsidRPr="004C6CC0" w:rsidRDefault="004C6CC0" w:rsidP="0003212A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5" w:name="_Hlk118292733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Cameron, L., &amp; Maslen, R. (Eds.). (2010).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Metaphor analysis: Research practice in applied linguistics, social sciences, and the humanities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London: Equinox. </w:t>
      </w:r>
    </w:p>
    <w:bookmarkEnd w:id="5"/>
    <w:p w14:paraId="32A981FD" w14:textId="2FBEADDB" w:rsidR="00AE5245" w:rsidRPr="0003212A" w:rsidRDefault="00AE5245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2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Carpenter, J. (2020). “A sky like glass”: Developing the use of simile and metaphor. In P. T. Ra</w:t>
      </w:r>
      <w:r w:rsidR="00C23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652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dolph &amp; J. Ruppert (Eds.), </w:t>
      </w:r>
      <w:r w:rsidRPr="006529E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New ways in teaching with creative writing </w:t>
      </w:r>
      <w:r w:rsidRPr="00652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203–206).  TESOL.</w:t>
      </w:r>
    </w:p>
    <w:p w14:paraId="54C54682" w14:textId="5091E2E4" w:rsidR="00D81138" w:rsidRDefault="00D8113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Carpenter, S., Walker, B., Anderies, J. M., &amp; Abel, N. (2001). From metaphor to measurement: Resilience of what to </w:t>
      </w:r>
      <w:proofErr w:type="gramStart"/>
      <w:r w:rsidRPr="0003212A">
        <w:rPr>
          <w:rFonts w:ascii="Times New Roman" w:eastAsia="Times New Roman" w:hAnsi="Times New Roman" w:cs="Times New Roman"/>
          <w:sz w:val="24"/>
          <w:szCs w:val="24"/>
        </w:rPr>
        <w:t>what?.</w:t>
      </w:r>
      <w:proofErr w:type="gram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Ecosystems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(8), 765-781.</w:t>
      </w:r>
    </w:p>
    <w:p w14:paraId="07BA274A" w14:textId="0B81F463" w:rsidR="00EB6E67" w:rsidRDefault="00EB6E6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893DC7" w14:textId="1313BD88" w:rsidR="00EB6E67" w:rsidRPr="0003212A" w:rsidRDefault="00EB6E6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Carston, R., &amp; Wearing, C. (2015). Hyperbolic language and its relation to metaphor and irony.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, 79-92.  </w:t>
      </w:r>
    </w:p>
    <w:p w14:paraId="2F2EC4B7" w14:textId="77777777" w:rsidR="00CE66FC" w:rsidRPr="0003212A" w:rsidRDefault="00CE66F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3D7201" w14:textId="77777777" w:rsidR="00CE66FC" w:rsidRPr="0003212A" w:rsidRDefault="00CE66F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Chakravarthy, B. S. (1982). Adaptation: A promising metaphor for strategic management.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Review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35-44.</w:t>
      </w:r>
    </w:p>
    <w:p w14:paraId="404B5BD1" w14:textId="77777777" w:rsidR="00CE66FC" w:rsidRPr="0003212A" w:rsidRDefault="00CE66F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E3765" w14:textId="35DCB8C9" w:rsidR="00B14DCA" w:rsidRPr="0003212A" w:rsidRDefault="00B14DC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Charteris-Black, J. (2004).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Corpus approaches to critical metaphor analysis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Palgrave-MacMillan.</w:t>
      </w:r>
    </w:p>
    <w:p w14:paraId="0A6FE8B3" w14:textId="77777777" w:rsidR="00404982" w:rsidRPr="0003212A" w:rsidRDefault="0040498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EC7B0" w14:textId="6FA9CFE2" w:rsidR="00404982" w:rsidRPr="0003212A" w:rsidRDefault="0040498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Charteris-Black, J. (2005).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Politicians and rhetoric: The persuasive power of metaphor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Palgrave-MacMillan.</w:t>
      </w:r>
    </w:p>
    <w:p w14:paraId="3D7F684E" w14:textId="77777777" w:rsidR="00B14DCA" w:rsidRPr="0003212A" w:rsidRDefault="00B14DC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D1491C" w14:textId="2DA230A2" w:rsidR="00CE6D37" w:rsidRPr="0003212A" w:rsidRDefault="00CE6D37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>Chinn, R., &amp; Willoughby, M. (2013). Making sense with metaphors in language teacher training. In T. Pattison (Ed.),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03212A">
        <w:rPr>
          <w:rFonts w:ascii="Times New Roman" w:hAnsi="Times New Roman" w:cs="Times New Roman"/>
          <w:sz w:val="24"/>
          <w:szCs w:val="24"/>
        </w:rPr>
        <w:t>(pp. 25-27). IATEFL.</w:t>
      </w:r>
    </w:p>
    <w:p w14:paraId="06EEA0AD" w14:textId="778193B9" w:rsidR="002A31D5" w:rsidRPr="0003212A" w:rsidRDefault="002A31D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Cohen, T. (1978). Metaphor and the </w:t>
      </w:r>
      <w:r w:rsidR="00202B9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ultivation of </w:t>
      </w:r>
      <w:r w:rsidR="00202B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ntimacy.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Inquiry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3-12.</w:t>
      </w:r>
    </w:p>
    <w:p w14:paraId="0B96B6BC" w14:textId="77777777" w:rsidR="002A31D5" w:rsidRPr="0003212A" w:rsidRDefault="002A31D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B392B" w14:textId="58FBD379" w:rsidR="00ED7534" w:rsidRDefault="00ED7534" w:rsidP="002F7FF7">
      <w:pPr>
        <w:pStyle w:val="BodyText"/>
        <w:ind w:left="720" w:hanging="720"/>
        <w:rPr>
          <w:rStyle w:val="Hyperlink"/>
          <w:color w:val="0462C1"/>
        </w:rPr>
      </w:pPr>
      <w:r w:rsidRPr="0003212A">
        <w:t>Cook-Sather, A. (2003). Movements of the mind: The matrix, metaphors, and re-</w:t>
      </w:r>
      <w:r w:rsidRPr="0003212A">
        <w:rPr>
          <w:spacing w:val="1"/>
        </w:rPr>
        <w:t xml:space="preserve"> </w:t>
      </w:r>
      <w:r w:rsidRPr="0003212A">
        <w:t xml:space="preserve">imagining education. </w:t>
      </w:r>
      <w:r w:rsidRPr="0003212A">
        <w:rPr>
          <w:i/>
        </w:rPr>
        <w:t xml:space="preserve">Teachers College Record, </w:t>
      </w:r>
      <w:r w:rsidRPr="0003212A">
        <w:rPr>
          <w:i/>
          <w:iCs/>
        </w:rPr>
        <w:t>105</w:t>
      </w:r>
      <w:r w:rsidRPr="0003212A">
        <w:t xml:space="preserve">(6) 946-977.  </w:t>
      </w:r>
      <w:hyperlink r:id="rId9" w:history="1">
        <w:r w:rsidRPr="0003212A">
          <w:rPr>
            <w:rStyle w:val="Hyperlink"/>
            <w:spacing w:val="-1"/>
          </w:rPr>
          <w:t>https://repository.brynmawr.edu/cgi/viewcontent.cgi?article=1008&amp;contex</w:t>
        </w:r>
      </w:hyperlink>
      <w:hyperlink r:id="rId10" w:history="1">
        <w:r w:rsidRPr="0003212A">
          <w:rPr>
            <w:rStyle w:val="Hyperlink"/>
            <w:color w:val="0462C1"/>
          </w:rPr>
          <w:t>t=edu_pubs</w:t>
        </w:r>
      </w:hyperlink>
    </w:p>
    <w:p w14:paraId="4FECA7BE" w14:textId="77777777" w:rsidR="002F7FF7" w:rsidRPr="0003212A" w:rsidRDefault="002F7FF7" w:rsidP="002F7FF7">
      <w:pPr>
        <w:pStyle w:val="BodyText"/>
        <w:ind w:left="720" w:hanging="720"/>
      </w:pPr>
    </w:p>
    <w:p w14:paraId="2FED1261" w14:textId="773C8C0C" w:rsidR="00460C51" w:rsidRPr="0003212A" w:rsidRDefault="00460C51" w:rsidP="002F7FF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hAnsi="Times New Roman" w:cs="Times New Roman"/>
          <w:sz w:val="24"/>
          <w:szCs w:val="24"/>
        </w:rPr>
        <w:lastRenderedPageBreak/>
        <w:t>Cortazzi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, M., &amp; Jin, L. (1999). Bridges to learning; Metaphors of teaching, learning and language.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149-176). Cambridge University Press. </w:t>
      </w:r>
    </w:p>
    <w:p w14:paraId="34E6E30A" w14:textId="77777777" w:rsidR="00F239F0" w:rsidRPr="0003212A" w:rsidRDefault="00F239F0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Curtis, A. (2007). Developing metaphorically. </w:t>
      </w:r>
      <w:r w:rsidRPr="0003212A">
        <w:rPr>
          <w:rFonts w:ascii="Times New Roman" w:hAnsi="Times New Roman" w:cs="Times New Roman"/>
          <w:i/>
          <w:sz w:val="24"/>
          <w:szCs w:val="24"/>
        </w:rPr>
        <w:t>Essential Teacher</w:t>
      </w:r>
      <w:r w:rsidRPr="0003212A">
        <w:rPr>
          <w:rFonts w:ascii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hAnsi="Times New Roman" w:cs="Times New Roman"/>
          <w:i/>
          <w:sz w:val="24"/>
          <w:szCs w:val="24"/>
        </w:rPr>
        <w:t>(4)</w:t>
      </w:r>
      <w:r w:rsidRPr="0003212A">
        <w:rPr>
          <w:rFonts w:ascii="Times New Roman" w:hAnsi="Times New Roman" w:cs="Times New Roman"/>
          <w:sz w:val="24"/>
          <w:szCs w:val="24"/>
        </w:rPr>
        <w:t>2, 14-15.</w:t>
      </w:r>
    </w:p>
    <w:p w14:paraId="18A0BB45" w14:textId="77777777" w:rsidR="00166D99" w:rsidRPr="0003212A" w:rsidRDefault="00166D99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Davis, R., &amp; Smith, R. G. (1983). Negotiation as a metaphor for distributed problem solving.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 Intelligence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63-109.</w:t>
      </w:r>
    </w:p>
    <w:p w14:paraId="693D083A" w14:textId="77777777" w:rsidR="004B794D" w:rsidRPr="0003212A" w:rsidRDefault="004B79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7181D1" w14:textId="68D5AC02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Deignan, A. (1999). Corpus-based research into metaphor.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177-199). Cambridge University Press. </w:t>
      </w:r>
    </w:p>
    <w:p w14:paraId="4E8E2C94" w14:textId="77777777" w:rsidR="003B09C4" w:rsidRPr="0003212A" w:rsidRDefault="003B09C4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De Man, P. (1978). The epistemology of metaphor.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Inquiry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13-30.</w:t>
      </w:r>
    </w:p>
    <w:p w14:paraId="3F511B0F" w14:textId="77777777" w:rsidR="003B09C4" w:rsidRPr="0003212A" w:rsidRDefault="003B09C4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7DA81" w14:textId="77777777" w:rsidR="002D1A98" w:rsidRPr="0003212A" w:rsidRDefault="002D1A9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DeMott, D. A. (1988). Beyond metaphor: an analysis of fiduciary obligation.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Duke Law Journal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1988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(5), 879-924.</w:t>
      </w:r>
    </w:p>
    <w:p w14:paraId="67D64859" w14:textId="77777777" w:rsidR="002D1A98" w:rsidRPr="0003212A" w:rsidRDefault="002D1A9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27518" w14:textId="77777777" w:rsidR="00056172" w:rsidRPr="0003212A" w:rsidRDefault="0005617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Derrida, J., &amp; Moore, F. C. T. (1974). White mythology: Metaphor in the text of philosophy.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New Literary History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5-74.</w:t>
      </w:r>
    </w:p>
    <w:p w14:paraId="4D72EFBC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3ED37" w14:textId="77777777" w:rsidR="00E45E8E" w:rsidRPr="0003212A" w:rsidRDefault="00E45E8E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Driver, J., &amp; Baylis, G. C. (1989). Movement and visual attention: The spotlight metaphor breaks down.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Human Perception and Performance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(3), 448.</w:t>
      </w:r>
    </w:p>
    <w:p w14:paraId="0D9042BB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CBB0D" w14:textId="77777777" w:rsidR="00191E59" w:rsidRPr="0003212A" w:rsidRDefault="00191E59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Dunn, W. N. (1980). The two-communities metaphor and models of knowledge use: An exploratory case survey. 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Science Communication</w:t>
      </w:r>
      <w:r w:rsidRPr="0003212A">
        <w:rPr>
          <w:rFonts w:ascii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3212A">
        <w:rPr>
          <w:rFonts w:ascii="Times New Roman" w:hAnsi="Times New Roman" w:cs="Times New Roman"/>
          <w:sz w:val="24"/>
          <w:szCs w:val="24"/>
        </w:rPr>
        <w:t>(4), 515-536.</w:t>
      </w:r>
    </w:p>
    <w:p w14:paraId="25C58B0C" w14:textId="514AB095" w:rsidR="00854342" w:rsidRPr="0003212A" w:rsidRDefault="00854342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Ellis, R. (2002). A metaphorical analysis of learner beliefs. In P. Burmeister, T. Piske, &amp; A. Rohde (Eds.), 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 xml:space="preserve">An integrated view of language development: Papers in honor of Henning </w:t>
      </w:r>
      <w:proofErr w:type="spellStart"/>
      <w:r w:rsidRPr="0003212A">
        <w:rPr>
          <w:rFonts w:ascii="Times New Roman" w:hAnsi="Times New Roman" w:cs="Times New Roman"/>
          <w:i/>
          <w:iCs/>
          <w:sz w:val="24"/>
          <w:szCs w:val="24"/>
        </w:rPr>
        <w:t>Wode</w:t>
      </w:r>
      <w:proofErr w:type="spellEnd"/>
      <w:r w:rsidRPr="000321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3212A">
        <w:rPr>
          <w:rFonts w:ascii="Times New Roman" w:hAnsi="Times New Roman" w:cs="Times New Roman"/>
          <w:sz w:val="24"/>
          <w:szCs w:val="24"/>
        </w:rPr>
        <w:t>Wissenschaftlicher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 Verlag.</w:t>
      </w:r>
    </w:p>
    <w:p w14:paraId="524E4647" w14:textId="54E55257" w:rsidR="00854342" w:rsidRPr="0003212A" w:rsidRDefault="0085434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BDAC5F" w14:textId="6834A81C" w:rsidR="007557B5" w:rsidRPr="0003212A" w:rsidRDefault="007557B5" w:rsidP="00032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Ellis, R., &amp; Barkhuizen, G. P. (2005). </w:t>
      </w:r>
      <w:r w:rsidRPr="00032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Metaphor analysis.</w:t>
      </w:r>
      <w:r w:rsidRPr="0003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In R. Ellis &amp; G. P. Barkhuizen (Eds.), </w:t>
      </w:r>
      <w:proofErr w:type="spellStart"/>
      <w:r w:rsidRPr="000321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Analysing</w:t>
      </w:r>
      <w:proofErr w:type="spellEnd"/>
      <w:r w:rsidRPr="000321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learner language</w:t>
      </w:r>
      <w:r w:rsidRPr="0003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313-334). Oxford University Press. </w:t>
      </w:r>
    </w:p>
    <w:p w14:paraId="48689E02" w14:textId="66946CE3" w:rsidR="00915A3D" w:rsidRPr="00915A3D" w:rsidRDefault="00915A3D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5A3D">
        <w:rPr>
          <w:rFonts w:ascii="Times New Roman" w:hAnsi="Times New Roman" w:cs="Times New Roman"/>
          <w:sz w:val="24"/>
          <w:szCs w:val="24"/>
        </w:rPr>
        <w:t xml:space="preserve">Farrell, T. S. C. (2006). ‘The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5A3D">
        <w:rPr>
          <w:rFonts w:ascii="Times New Roman" w:hAnsi="Times New Roman" w:cs="Times New Roman"/>
          <w:sz w:val="24"/>
          <w:szCs w:val="24"/>
        </w:rPr>
        <w:t xml:space="preserve">eacher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15A3D">
        <w:rPr>
          <w:rFonts w:ascii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15A3D">
        <w:rPr>
          <w:rFonts w:ascii="Times New Roman" w:hAnsi="Times New Roman" w:cs="Times New Roman"/>
          <w:sz w:val="24"/>
          <w:szCs w:val="24"/>
        </w:rPr>
        <w:t xml:space="preserve">ctopus’: Uncovering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15A3D">
        <w:rPr>
          <w:rFonts w:ascii="Times New Roman" w:hAnsi="Times New Roman" w:cs="Times New Roman"/>
          <w:sz w:val="24"/>
          <w:szCs w:val="24"/>
        </w:rPr>
        <w:t xml:space="preserve">reservice English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15A3D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5A3D">
        <w:rPr>
          <w:rFonts w:ascii="Times New Roman" w:hAnsi="Times New Roman" w:cs="Times New Roman"/>
          <w:sz w:val="24"/>
          <w:szCs w:val="24"/>
        </w:rPr>
        <w:t xml:space="preserve">eachers’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15A3D">
        <w:rPr>
          <w:rFonts w:ascii="Times New Roman" w:hAnsi="Times New Roman" w:cs="Times New Roman"/>
          <w:sz w:val="24"/>
          <w:szCs w:val="24"/>
        </w:rPr>
        <w:t xml:space="preserve">rior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15A3D">
        <w:rPr>
          <w:rFonts w:ascii="Times New Roman" w:hAnsi="Times New Roman" w:cs="Times New Roman"/>
          <w:sz w:val="24"/>
          <w:szCs w:val="24"/>
        </w:rPr>
        <w:t xml:space="preserve">eliefs through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5A3D">
        <w:rPr>
          <w:rFonts w:ascii="Times New Roman" w:hAnsi="Times New Roman" w:cs="Times New Roman"/>
          <w:sz w:val="24"/>
          <w:szCs w:val="24"/>
        </w:rPr>
        <w:t xml:space="preserve">etaphor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5A3D">
        <w:rPr>
          <w:rFonts w:ascii="Times New Roman" w:hAnsi="Times New Roman" w:cs="Times New Roman"/>
          <w:sz w:val="24"/>
          <w:szCs w:val="24"/>
        </w:rPr>
        <w:t xml:space="preserve">nalysis. </w:t>
      </w:r>
      <w:r w:rsidRPr="00915A3D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915A3D">
        <w:rPr>
          <w:rFonts w:ascii="Times New Roman" w:hAnsi="Times New Roman" w:cs="Times New Roman"/>
          <w:sz w:val="24"/>
          <w:szCs w:val="24"/>
        </w:rPr>
        <w:t xml:space="preserve">, </w:t>
      </w:r>
      <w:r w:rsidRPr="00915A3D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15A3D">
        <w:rPr>
          <w:rFonts w:ascii="Times New Roman" w:hAnsi="Times New Roman" w:cs="Times New Roman"/>
          <w:sz w:val="24"/>
          <w:szCs w:val="24"/>
        </w:rPr>
        <w:t>(2), 236–248. https://doi.org/10.1177/0033688206067430</w:t>
      </w:r>
    </w:p>
    <w:p w14:paraId="5E038991" w14:textId="77777777" w:rsidR="00915A3D" w:rsidRDefault="00915A3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9396E" w14:textId="05069634" w:rsidR="00E02742" w:rsidRPr="00E02742" w:rsidRDefault="00E0274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8292823"/>
      <w:r>
        <w:rPr>
          <w:rFonts w:ascii="Times New Roman" w:eastAsia="Times New Roman" w:hAnsi="Times New Roman" w:cs="Times New Roman"/>
          <w:sz w:val="24"/>
          <w:szCs w:val="24"/>
        </w:rPr>
        <w:t xml:space="preserve">Fattahi, N., &amp; Nushi, M. (2021). The effect of gender and language proficiency on the metaphor use in the writing of TEFL students.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Education, 6</w:t>
      </w:r>
      <w:r w:rsidR="00B02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Article 19. </w:t>
      </w:r>
      <w:r w:rsidRPr="00E02742">
        <w:rPr>
          <w:rFonts w:ascii="Times New Roman" w:eastAsia="Times New Roman" w:hAnsi="Times New Roman" w:cs="Times New Roman"/>
          <w:sz w:val="24"/>
          <w:szCs w:val="24"/>
        </w:rPr>
        <w:t>https://doi.org/10.1186/s40862-021-00126-1</w:t>
      </w:r>
    </w:p>
    <w:bookmarkEnd w:id="6"/>
    <w:p w14:paraId="77B07AC1" w14:textId="77777777" w:rsidR="00E02742" w:rsidRPr="00E02742" w:rsidRDefault="00E0274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0C79F" w14:textId="5874E745" w:rsidR="003B49B5" w:rsidRPr="0003212A" w:rsidRDefault="003B49B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Fernandez, J. W. (Ed.). (1991).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Beyond metaphor: The theory of tropes in anthropology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Stanford, CA: Stanford University Press.</w:t>
      </w:r>
    </w:p>
    <w:p w14:paraId="69772029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9F2B23" w14:textId="266FFC61" w:rsidR="007F5208" w:rsidRPr="0003212A" w:rsidRDefault="007F5208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20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Flores, N.</w:t>
      </w:r>
      <w:r w:rsidRPr="0003212A">
        <w:rPr>
          <w:rFonts w:ascii="Times New Roman" w:hAnsi="Times New Roman" w:cs="Times New Roman"/>
          <w:sz w:val="24"/>
          <w:szCs w:val="24"/>
        </w:rPr>
        <w:t xml:space="preserve"> (2010). Beyond charity: Partial narratives as a metaphor for basic writing. </w:t>
      </w:r>
      <w:r w:rsidRPr="0003212A">
        <w:rPr>
          <w:rStyle w:val="Emphasis"/>
          <w:rFonts w:ascii="Times New Roman" w:hAnsi="Times New Roman" w:cs="Times New Roman"/>
          <w:sz w:val="24"/>
          <w:szCs w:val="24"/>
        </w:rPr>
        <w:t>The Journal of Basic Writing</w:t>
      </w:r>
      <w:r w:rsidRPr="0003212A">
        <w:rPr>
          <w:rFonts w:ascii="Times New Roman" w:hAnsi="Times New Roman" w:cs="Times New Roman"/>
          <w:sz w:val="24"/>
          <w:szCs w:val="24"/>
        </w:rPr>
        <w:t xml:space="preserve">, </w:t>
      </w:r>
      <w:r w:rsidRPr="0003212A">
        <w:rPr>
          <w:rStyle w:val="Emphasis"/>
          <w:rFonts w:ascii="Times New Roman" w:hAnsi="Times New Roman" w:cs="Times New Roman"/>
          <w:sz w:val="24"/>
          <w:szCs w:val="24"/>
        </w:rPr>
        <w:t>29</w:t>
      </w:r>
      <w:r w:rsidRPr="0003212A">
        <w:rPr>
          <w:rFonts w:ascii="Times New Roman" w:hAnsi="Times New Roman" w:cs="Times New Roman"/>
          <w:sz w:val="24"/>
          <w:szCs w:val="24"/>
        </w:rPr>
        <w:t>, 31–49.</w:t>
      </w:r>
    </w:p>
    <w:p w14:paraId="3131E989" w14:textId="77777777" w:rsidR="007F5208" w:rsidRPr="0003212A" w:rsidRDefault="007F520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9B956" w14:textId="47221CC7" w:rsidR="0041555D" w:rsidRPr="0003212A" w:rsidRDefault="0041555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eastAsia="Times New Roman" w:hAnsi="Times New Roman" w:cs="Times New Roman"/>
          <w:sz w:val="24"/>
          <w:szCs w:val="24"/>
        </w:rPr>
        <w:t>Forceville</w:t>
      </w:r>
      <w:proofErr w:type="spell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C. (2002).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Pictorial metaphor in advertising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7E7D60E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DC8F2E" w14:textId="0417E3C2" w:rsidR="0052518C" w:rsidRPr="0052518C" w:rsidRDefault="0052518C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8292856"/>
      <w:r>
        <w:rPr>
          <w:rFonts w:ascii="Times New Roman" w:hAnsi="Times New Roman" w:cs="Times New Roman"/>
          <w:sz w:val="24"/>
          <w:szCs w:val="24"/>
        </w:rPr>
        <w:t xml:space="preserve">Garner, R. (2005). Humor, analogy, and metaphor: H.A.M it up in teaching. </w:t>
      </w:r>
      <w:r>
        <w:rPr>
          <w:rFonts w:ascii="Times New Roman" w:hAnsi="Times New Roman" w:cs="Times New Roman"/>
          <w:i/>
          <w:iCs/>
          <w:sz w:val="24"/>
          <w:szCs w:val="24"/>
        </w:rPr>
        <w:t>Radical Pedagogy, 6</w:t>
      </w:r>
      <w:r>
        <w:rPr>
          <w:rFonts w:ascii="Times New Roman" w:hAnsi="Times New Roman" w:cs="Times New Roman"/>
          <w:sz w:val="24"/>
          <w:szCs w:val="24"/>
        </w:rPr>
        <w:t xml:space="preserve">(2). </w:t>
      </w:r>
    </w:p>
    <w:p w14:paraId="792C62CA" w14:textId="380C906E" w:rsidR="00807C33" w:rsidRPr="00807C33" w:rsidRDefault="00807C33" w:rsidP="0003212A">
      <w:pPr>
        <w:spacing w:after="24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Gerstl-Pepin, C., &amp; Patrizio, K. (2009). Learning from Dumbledore’s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Metaphor as an aid in teaching reflexivity in qualitative research. </w:t>
      </w:r>
      <w:r w:rsidRPr="00807C33">
        <w:rPr>
          <w:rFonts w:ascii="Times New Roman" w:hAnsi="Times New Roman" w:cs="Times New Roman"/>
          <w:i/>
          <w:iCs/>
          <w:sz w:val="24"/>
          <w:szCs w:val="24"/>
        </w:rPr>
        <w:t>Qualitative Research, 9</w:t>
      </w:r>
      <w:r w:rsidRPr="00807C33">
        <w:rPr>
          <w:rFonts w:ascii="Times New Roman" w:hAnsi="Times New Roman" w:cs="Times New Roman"/>
          <w:sz w:val="24"/>
          <w:szCs w:val="24"/>
        </w:rPr>
        <w:t>(3), 299-308.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C33">
        <w:rPr>
          <w:rFonts w:ascii="Times New Roman" w:hAnsi="Times New Roman" w:cs="Times New Roman"/>
          <w:sz w:val="24"/>
          <w:szCs w:val="24"/>
        </w:rPr>
        <w:t>https://doi.org/10.1177/1468794109105029</w:t>
      </w:r>
    </w:p>
    <w:bookmarkEnd w:id="7"/>
    <w:p w14:paraId="440BD1AB" w14:textId="0329E46A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Gibbs, Jr, R. W. (1999). Researching metaphor.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29-47). Cambridge University Press. </w:t>
      </w:r>
    </w:p>
    <w:p w14:paraId="14776D42" w14:textId="77777777" w:rsidR="00180177" w:rsidRPr="0003212A" w:rsidRDefault="0018017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Gildea, P., &amp; Glucksberg, S. (1983). On understanding metaphor: The role of context.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Verbal Learning and Verbal Behavior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(5), 577-590.</w:t>
      </w:r>
    </w:p>
    <w:p w14:paraId="44A7322D" w14:textId="77777777" w:rsidR="00A1284D" w:rsidRPr="0003212A" w:rsidRDefault="00A128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3CC0D6" w14:textId="3BC7DF70" w:rsidR="00A1284D" w:rsidRPr="0003212A" w:rsidRDefault="00A128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Glucksberg, S. (2001).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figurative language: From metaphor to idioms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7EBEBF6F" w14:textId="77777777" w:rsidR="00A1284D" w:rsidRPr="0003212A" w:rsidRDefault="00A128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C30287" w14:textId="79077012" w:rsidR="00C22355" w:rsidRPr="0003212A" w:rsidRDefault="00C2235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Goossens, L. (1990). </w:t>
      </w:r>
      <w:proofErr w:type="spellStart"/>
      <w:r w:rsidRPr="0003212A">
        <w:rPr>
          <w:rFonts w:ascii="Times New Roman" w:eastAsia="Times New Roman" w:hAnsi="Times New Roman" w:cs="Times New Roman"/>
          <w:sz w:val="24"/>
          <w:szCs w:val="24"/>
        </w:rPr>
        <w:t>Metaphtonymy</w:t>
      </w:r>
      <w:proofErr w:type="spell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61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he interaction of metaphor and metonymy in expressions for linguistic action.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Linguistics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(3), 323-342.</w:t>
      </w:r>
    </w:p>
    <w:p w14:paraId="3244E2F7" w14:textId="77777777" w:rsidR="00180177" w:rsidRPr="0003212A" w:rsidRDefault="0018017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C3E331" w14:textId="1325EF5E" w:rsidR="00D51F22" w:rsidRPr="0003212A" w:rsidRDefault="00D51F22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Gould, S. J. (1987).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Time's arrow, time's cycle: Myth and metaphor in the discovery of geological time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Harvard University Press.</w:t>
      </w:r>
    </w:p>
    <w:p w14:paraId="50EF90E3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63640" w14:textId="05EAD1DF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Gwyn, R. (1999). “Captain of my own ship”: Metaphor and the discourse of chronic illness.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203-220).  Cambridge University Press. </w:t>
      </w:r>
    </w:p>
    <w:p w14:paraId="4AABEA4D" w14:textId="284E3803" w:rsidR="003B49B5" w:rsidRPr="0003212A" w:rsidRDefault="003B49B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Henig, J. R. (1995).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school choice: Limits of the market metaphor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Princeton University Press.</w:t>
      </w:r>
    </w:p>
    <w:p w14:paraId="67EAAB7D" w14:textId="4763CF3C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245317" w14:textId="59E51FE3" w:rsidR="004C6CC0" w:rsidRPr="004C6CC0" w:rsidRDefault="004C6CC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18292883"/>
      <w:r>
        <w:rPr>
          <w:rFonts w:ascii="Times New Roman" w:eastAsia="Times New Roman" w:hAnsi="Times New Roman" w:cs="Times New Roman"/>
          <w:sz w:val="24"/>
          <w:szCs w:val="24"/>
        </w:rPr>
        <w:t xml:space="preserve">Hunt, C. (2006). Travels with a turtle: Metaphors and the making of a professional identity.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Reflective Practice,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(3), 315-332. </w:t>
      </w:r>
      <w:r w:rsidR="006470FE" w:rsidRPr="006470FE">
        <w:rPr>
          <w:rFonts w:ascii="Times New Roman" w:eastAsia="Times New Roman" w:hAnsi="Times New Roman" w:cs="Times New Roman"/>
          <w:sz w:val="24"/>
          <w:szCs w:val="24"/>
        </w:rPr>
        <w:t>https://doi.org/10.1080/14623940600837467</w:t>
      </w:r>
    </w:p>
    <w:bookmarkEnd w:id="8"/>
    <w:p w14:paraId="74DF7F9C" w14:textId="77777777" w:rsidR="004C6CC0" w:rsidRDefault="004C6CC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9BF736" w14:textId="0E949331" w:rsidR="00FB3F90" w:rsidRPr="00FB3F90" w:rsidRDefault="00FB3F9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3F90">
        <w:rPr>
          <w:rFonts w:ascii="Times New Roman" w:eastAsia="Times New Roman" w:hAnsi="Times New Roman" w:cs="Times New Roman"/>
          <w:sz w:val="24"/>
          <w:szCs w:val="24"/>
        </w:rPr>
        <w:t xml:space="preserve">Jensen, D. (2006). Metaphors as a bridge to understanding educational and social contexts. </w:t>
      </w:r>
      <w:r w:rsidRPr="00FB3F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FB3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F9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B3F90">
        <w:rPr>
          <w:rFonts w:ascii="Times New Roman" w:eastAsia="Times New Roman" w:hAnsi="Times New Roman" w:cs="Times New Roman"/>
          <w:sz w:val="24"/>
          <w:szCs w:val="24"/>
        </w:rPr>
        <w:t>(1), 36-54.</w:t>
      </w:r>
    </w:p>
    <w:p w14:paraId="3A777CE5" w14:textId="77777777" w:rsidR="00FB3F90" w:rsidRPr="0003212A" w:rsidRDefault="00FB3F9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12346E" w14:textId="26C77DC6" w:rsidR="008166BD" w:rsidRPr="008166BD" w:rsidRDefault="008166B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Kasoutas, M., &amp; </w:t>
      </w:r>
      <w:proofErr w:type="spellStart"/>
      <w:r w:rsidRPr="008166BD">
        <w:rPr>
          <w:rFonts w:ascii="Times New Roman" w:eastAsia="Times New Roman" w:hAnsi="Times New Roman" w:cs="Times New Roman"/>
          <w:sz w:val="24"/>
          <w:szCs w:val="24"/>
        </w:rPr>
        <w:t>Malamitsa</w:t>
      </w:r>
      <w:proofErr w:type="spellEnd"/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, K. (2009). Exploring Greek 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eachers' 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eliefs 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etaphors. </w:t>
      </w:r>
      <w:r w:rsidRPr="008166BD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Teacher Education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6B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166BD">
        <w:rPr>
          <w:rFonts w:ascii="Times New Roman" w:eastAsia="Times New Roman" w:hAnsi="Times New Roman" w:cs="Times New Roman"/>
          <w:sz w:val="24"/>
          <w:szCs w:val="24"/>
        </w:rPr>
        <w:t>(2), 64-83.</w:t>
      </w:r>
    </w:p>
    <w:p w14:paraId="40D1BBE9" w14:textId="77777777" w:rsidR="008166BD" w:rsidRPr="0003212A" w:rsidRDefault="008166B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C1CF4D" w14:textId="7DD39F62" w:rsidR="00E20DCE" w:rsidRPr="0003212A" w:rsidRDefault="00E20DCE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Kittay, E. F. (1990).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Metaphor: Its cognitive force and linguistic structure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163A7E3D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09A5A7" w14:textId="2C07F6D5" w:rsidR="00A070CC" w:rsidRPr="0003212A" w:rsidRDefault="00A070C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Koller, V. (2004).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Metaphor and gender in business media discourse: </w:t>
      </w:r>
      <w:r w:rsidR="00E27329"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critical cognitive study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5624DA0C" w14:textId="77777777" w:rsidR="000C7AA8" w:rsidRPr="0003212A" w:rsidRDefault="000C7AA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CDEB27" w14:textId="3A965F53" w:rsidR="00CC52D1" w:rsidRPr="0003212A" w:rsidRDefault="000C7AA8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7E1BAD" w:rsidRPr="0003212A">
        <w:rPr>
          <w:rFonts w:ascii="Times New Roman" w:hAnsi="Times New Roman" w:cs="Times New Roman"/>
          <w:sz w:val="24"/>
          <w:szCs w:val="24"/>
        </w:rPr>
        <w:t>ovecses</w:t>
      </w:r>
      <w:proofErr w:type="spellEnd"/>
      <w:r w:rsidR="007E1BAD" w:rsidRPr="0003212A">
        <w:rPr>
          <w:rFonts w:ascii="Times New Roman" w:hAnsi="Times New Roman" w:cs="Times New Roman"/>
          <w:sz w:val="24"/>
          <w:szCs w:val="24"/>
        </w:rPr>
        <w:t xml:space="preserve">, Z. (2010). </w:t>
      </w:r>
      <w:r w:rsidR="007E1BAD" w:rsidRPr="0003212A">
        <w:rPr>
          <w:rFonts w:ascii="Times New Roman" w:hAnsi="Times New Roman" w:cs="Times New Roman"/>
          <w:i/>
          <w:sz w:val="24"/>
          <w:szCs w:val="24"/>
        </w:rPr>
        <w:t>Metaphor: A practical introduction</w:t>
      </w:r>
      <w:r w:rsidR="007E1BAD" w:rsidRPr="0003212A">
        <w:rPr>
          <w:rFonts w:ascii="Times New Roman" w:hAnsi="Times New Roman" w:cs="Times New Roman"/>
          <w:sz w:val="24"/>
          <w:szCs w:val="24"/>
        </w:rPr>
        <w:t xml:space="preserve"> (2</w:t>
      </w:r>
      <w:r w:rsidR="007E1BAD" w:rsidRPr="000321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E1BAD" w:rsidRPr="0003212A">
        <w:rPr>
          <w:rFonts w:ascii="Times New Roman" w:hAnsi="Times New Roman" w:cs="Times New Roman"/>
          <w:sz w:val="24"/>
          <w:szCs w:val="24"/>
        </w:rPr>
        <w:t xml:space="preserve"> ed.)</w:t>
      </w:r>
      <w:r w:rsidR="007E1BAD" w:rsidRPr="000321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1BAD" w:rsidRPr="0003212A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1CC32D7B" w14:textId="77777777" w:rsidR="004B794D" w:rsidRPr="0003212A" w:rsidRDefault="004B79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Lakoff, G. (1991). Metaphor and war: The metaphor system used to justify war in the Gulf.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Peace Research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, 25-32.</w:t>
      </w:r>
    </w:p>
    <w:p w14:paraId="06B49A42" w14:textId="77777777" w:rsidR="00201CC8" w:rsidRPr="0003212A" w:rsidRDefault="00201CC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E8FE5" w14:textId="77777777" w:rsidR="00E4535B" w:rsidRPr="0003212A" w:rsidRDefault="00E4535B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Lakoff, G., &amp; Johnson, M. (1980). Conceptual metaphor in everyday language.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Philosophy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(8), 453-486.</w:t>
      </w:r>
    </w:p>
    <w:p w14:paraId="4D332DB1" w14:textId="77777777" w:rsidR="00201CC8" w:rsidRPr="0003212A" w:rsidRDefault="00201CC8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65F38" w14:textId="30714F96" w:rsidR="00E27329" w:rsidRPr="0003212A" w:rsidRDefault="00E27329" w:rsidP="0003212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Lakoff, G., &amp; Johnson, M. (1980).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Metaphors we live by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3F6CAF8D" w14:textId="0606F8F3" w:rsidR="00CC52D1" w:rsidRPr="0003212A" w:rsidRDefault="00CC52D1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Lakoff, G., &amp; Turner, M. (2009).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More than cool reason: A field guide to poetic metaphor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47977C4E" w14:textId="77777777" w:rsidR="00201CC8" w:rsidRPr="0003212A" w:rsidRDefault="00201CC8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888C23" w14:textId="54893261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Low, G. (1999). “This paper thinks…”: Investigating the acceptability of the metaphor “An essay is a person”.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221-248). Cambridge University Press. </w:t>
      </w:r>
    </w:p>
    <w:p w14:paraId="2674DF5A" w14:textId="416A69D4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Low, G. (1999). Validating metaphor research projects.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48-65).  Cambridge University Press. </w:t>
      </w:r>
    </w:p>
    <w:p w14:paraId="6CA941DB" w14:textId="7482F73E" w:rsidR="00DE7227" w:rsidRPr="0003212A" w:rsidRDefault="00DE7227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Low, G., Todd, Z., Deignan, A., &amp; Cameron, L. (Eds.). (2010). </w:t>
      </w:r>
      <w:r w:rsidRPr="0003212A">
        <w:rPr>
          <w:rFonts w:ascii="Times New Roman" w:hAnsi="Times New Roman" w:cs="Times New Roman"/>
          <w:i/>
          <w:sz w:val="24"/>
          <w:szCs w:val="24"/>
        </w:rPr>
        <w:t xml:space="preserve">Researching and applying metaphor in the real world. </w:t>
      </w:r>
      <w:r w:rsidRPr="0003212A">
        <w:rPr>
          <w:rFonts w:ascii="Times New Roman" w:hAnsi="Times New Roman" w:cs="Times New Roman"/>
          <w:sz w:val="24"/>
          <w:szCs w:val="24"/>
        </w:rPr>
        <w:t xml:space="preserve">John Benjamins.  </w:t>
      </w:r>
    </w:p>
    <w:p w14:paraId="3450574F" w14:textId="341391D6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Mahon, J. E. (1999). Getting your sources right: What Aristotle </w:t>
      </w:r>
      <w:r w:rsidRPr="0003212A">
        <w:rPr>
          <w:rFonts w:ascii="Times New Roman" w:hAnsi="Times New Roman" w:cs="Times New Roman"/>
          <w:i/>
          <w:sz w:val="24"/>
          <w:szCs w:val="24"/>
        </w:rPr>
        <w:t>didn’t</w:t>
      </w:r>
      <w:r w:rsidRPr="0003212A">
        <w:rPr>
          <w:rFonts w:ascii="Times New Roman" w:hAnsi="Times New Roman" w:cs="Times New Roman"/>
          <w:sz w:val="24"/>
          <w:szCs w:val="24"/>
        </w:rPr>
        <w:t xml:space="preserve"> say.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69-80). Cambridge University Press. </w:t>
      </w:r>
    </w:p>
    <w:p w14:paraId="2624045B" w14:textId="5ECD83B4" w:rsidR="00A25095" w:rsidRPr="0003212A" w:rsidRDefault="00A25095" w:rsidP="0003212A">
      <w:pPr>
        <w:pStyle w:val="NormalWeb"/>
        <w:spacing w:before="0" w:beforeAutospacing="0" w:after="0" w:afterAutospacing="0"/>
        <w:ind w:left="720" w:hanging="720"/>
      </w:pPr>
      <w:r w:rsidRPr="0003212A">
        <w:rPr>
          <w:rFonts w:eastAsiaTheme="minorHAnsi"/>
        </w:rPr>
        <w:t xml:space="preserve">Matsuda, P. K., &amp; Jablonski, J. (2000). </w:t>
      </w:r>
      <w:r w:rsidRPr="0003212A">
        <w:t xml:space="preserve">Beyond the L2 metaphor: Towards a mutually transformative model of ESL/WAC collaboration. </w:t>
      </w:r>
      <w:r w:rsidRPr="0003212A">
        <w:rPr>
          <w:i/>
        </w:rPr>
        <w:t>Academic Writing, 1.</w:t>
      </w:r>
      <w:r w:rsidR="00B9614C">
        <w:rPr>
          <w:i/>
        </w:rPr>
        <w:t xml:space="preserve"> </w:t>
      </w:r>
      <w:hyperlink r:id="rId11" w:history="1">
        <w:r w:rsidRPr="0003212A">
          <w:rPr>
            <w:rStyle w:val="Hyperlink"/>
            <w:bdr w:val="none" w:sz="0" w:space="0" w:color="auto" w:frame="1"/>
          </w:rPr>
          <w:t>http://wac.colostate.edu/aw/articles/matsuda_jablonski2000.htm</w:t>
        </w:r>
      </w:hyperlink>
      <w:r w:rsidRPr="0003212A">
        <w:t>.</w:t>
      </w:r>
    </w:p>
    <w:p w14:paraId="46E3A454" w14:textId="77777777" w:rsidR="00A25095" w:rsidRPr="0003212A" w:rsidRDefault="00A2509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324925" w14:textId="59164861" w:rsidR="00087B58" w:rsidRPr="0003212A" w:rsidRDefault="00087B5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Moon, J., Crane, A., &amp; Matten, D. (2005). Can corporations be citizens? Corporate citizenship as a metaphor for business participation in society.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Business Ethics Quarterly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(03), 429-453.</w:t>
      </w:r>
    </w:p>
    <w:p w14:paraId="692CC2F1" w14:textId="77777777" w:rsidR="00F305AA" w:rsidRPr="0003212A" w:rsidRDefault="00F305A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3F81B9" w14:textId="77777777" w:rsidR="00F305AA" w:rsidRPr="0003212A" w:rsidRDefault="00F305A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Morgan, G. (1983). More on metaphor: Why we cannot control tropes in administrative science.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Administrative Science Quarterly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(4), 601-607.</w:t>
      </w:r>
    </w:p>
    <w:p w14:paraId="20607ECF" w14:textId="77777777" w:rsidR="00087B58" w:rsidRPr="0003212A" w:rsidRDefault="00087B5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ED948E" w14:textId="77777777" w:rsidR="009F0F4D" w:rsidRPr="0003212A" w:rsidRDefault="009F0F4D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Mutua, M. W. (2001). Savages, victims, and saviors: the metaphor of human rights.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Harvard International Law Journal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201-245.</w:t>
      </w:r>
    </w:p>
    <w:p w14:paraId="2568DEC2" w14:textId="77777777" w:rsidR="00087B58" w:rsidRPr="0003212A" w:rsidRDefault="00087B5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3683C8" w14:textId="77777777" w:rsidR="000827CE" w:rsidRPr="0003212A" w:rsidRDefault="000827CE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Norgaard, R. B. (2010). Ecosystem services: From eye-opening metaphor to complexity blinder.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Ecological Economics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(6), 1219-1227.</w:t>
      </w:r>
    </w:p>
    <w:p w14:paraId="1D6A5830" w14:textId="77777777" w:rsidR="00201CC8" w:rsidRPr="0003212A" w:rsidRDefault="00201CC8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C93EE8" w14:textId="38B8E90E" w:rsidR="00754F40" w:rsidRPr="0003212A" w:rsidRDefault="00754F4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eastAsia="Times New Roman" w:hAnsi="Times New Roman" w:cs="Times New Roman"/>
          <w:sz w:val="24"/>
          <w:szCs w:val="24"/>
        </w:rPr>
        <w:t>Olkoniemi</w:t>
      </w:r>
      <w:proofErr w:type="spell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H., Ranta, H., &amp; Kaakinen, J. K. (2016). Individual differences in the processing of written sarcasm and metaphor: Evidence from eye movements.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(3), 433-450.  </w:t>
      </w:r>
    </w:p>
    <w:p w14:paraId="28D18EC9" w14:textId="77777777" w:rsidR="00754F40" w:rsidRPr="0003212A" w:rsidRDefault="00754F4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C5FCB0" w14:textId="5B280E67" w:rsidR="0039492F" w:rsidRPr="0003212A" w:rsidRDefault="0039492F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eastAsia="Times New Roman" w:hAnsi="Times New Roman" w:cs="Times New Roman"/>
          <w:sz w:val="24"/>
          <w:szCs w:val="24"/>
        </w:rPr>
        <w:lastRenderedPageBreak/>
        <w:t>Ortony</w:t>
      </w:r>
      <w:proofErr w:type="spell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A. (1993).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thought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2D7B97D9" w14:textId="1A1232D8" w:rsidR="0039492F" w:rsidRPr="0003212A" w:rsidRDefault="0039492F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07108A" w14:textId="6DCE9AE7" w:rsidR="008033EB" w:rsidRPr="0003212A" w:rsidRDefault="008033EB" w:rsidP="0003212A">
      <w:pPr>
        <w:pStyle w:val="Bibliograph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, A. (1979). Psychological processes in the comprehension of metaphor. In A. </w:t>
      </w:r>
      <w:proofErr w:type="spellStart"/>
      <w:r w:rsidRPr="0003212A">
        <w:rPr>
          <w:rFonts w:ascii="Times New Roman" w:hAnsi="Times New Roman" w:cs="Times New Roman"/>
          <w:sz w:val="24"/>
          <w:szCs w:val="24"/>
        </w:rPr>
        <w:t>Ortony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 (Ed.), 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Metaphor and thought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150-171). Cambridge University Press.</w:t>
      </w:r>
    </w:p>
    <w:p w14:paraId="797D243D" w14:textId="77777777" w:rsidR="0086568B" w:rsidRPr="0003212A" w:rsidRDefault="0086568B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hAnsi="Times New Roman" w:cs="Times New Roman"/>
          <w:sz w:val="24"/>
          <w:szCs w:val="24"/>
        </w:rPr>
        <w:t>Palincsar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, A. S. (1998). Keeping the metaphor of scaffolding fresh. </w:t>
      </w:r>
      <w:r w:rsidRPr="0003212A">
        <w:rPr>
          <w:rFonts w:ascii="Times New Roman" w:hAnsi="Times New Roman" w:cs="Times New Roman"/>
          <w:i/>
          <w:sz w:val="24"/>
          <w:szCs w:val="24"/>
        </w:rPr>
        <w:t>Journal of Learning Disabilities</w:t>
      </w:r>
      <w:r w:rsidRPr="0003212A">
        <w:rPr>
          <w:rFonts w:ascii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hAnsi="Times New Roman" w:cs="Times New Roman"/>
          <w:i/>
          <w:sz w:val="24"/>
          <w:szCs w:val="24"/>
        </w:rPr>
        <w:t>31</w:t>
      </w:r>
      <w:r w:rsidRPr="0003212A">
        <w:rPr>
          <w:rFonts w:ascii="Times New Roman" w:hAnsi="Times New Roman" w:cs="Times New Roman"/>
          <w:sz w:val="24"/>
          <w:szCs w:val="24"/>
        </w:rPr>
        <w:t>, 370-373.</w:t>
      </w:r>
    </w:p>
    <w:p w14:paraId="0930DFB9" w14:textId="3770488A" w:rsidR="006A451F" w:rsidRPr="0003212A" w:rsidRDefault="006A451F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451F">
        <w:rPr>
          <w:rFonts w:ascii="Times New Roman" w:eastAsia="Times New Roman" w:hAnsi="Times New Roman" w:cs="Times New Roman"/>
          <w:sz w:val="24"/>
          <w:szCs w:val="24"/>
        </w:rPr>
        <w:t xml:space="preserve">Patchen, T., &amp; Crawford, T. (2011). From gardeners to tour guides: The epistemological struggle revealed in teacher-generated metaphors of teaching. </w:t>
      </w:r>
      <w:r w:rsidRPr="006A451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6A4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451F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6A451F">
        <w:rPr>
          <w:rFonts w:ascii="Times New Roman" w:eastAsia="Times New Roman" w:hAnsi="Times New Roman" w:cs="Times New Roman"/>
          <w:sz w:val="24"/>
          <w:szCs w:val="24"/>
        </w:rPr>
        <w:t>(3), 286-298.</w:t>
      </w:r>
    </w:p>
    <w:p w14:paraId="699B94D8" w14:textId="77777777" w:rsidR="006A451F" w:rsidRPr="0003212A" w:rsidRDefault="006A451F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71AB5C" w14:textId="5D4762D3" w:rsidR="00433293" w:rsidRPr="0003212A" w:rsidRDefault="00433293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Piata, A. (2018). </w:t>
      </w:r>
      <w:r w:rsidRPr="0003212A">
        <w:rPr>
          <w:rFonts w:ascii="Times New Roman" w:hAnsi="Times New Roman" w:cs="Times New Roman"/>
          <w:i/>
          <w:sz w:val="24"/>
          <w:szCs w:val="24"/>
        </w:rPr>
        <w:t>The poetics of time-metaphors and blends in language and literature</w:t>
      </w:r>
      <w:r w:rsidRPr="0003212A">
        <w:rPr>
          <w:rFonts w:ascii="Times New Roman" w:hAnsi="Times New Roman" w:cs="Times New Roman"/>
          <w:sz w:val="24"/>
          <w:szCs w:val="24"/>
        </w:rPr>
        <w:t>. John Benjamins.</w:t>
      </w:r>
    </w:p>
    <w:p w14:paraId="50E43225" w14:textId="0440BB32" w:rsidR="00612D68" w:rsidRDefault="00612D68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Picken, J. (2005). Helping foreign language learners to make sense of literature with metaphor awareness-raising. </w:t>
      </w:r>
      <w:r w:rsidRPr="0003212A">
        <w:rPr>
          <w:rFonts w:ascii="Times New Roman" w:hAnsi="Times New Roman" w:cs="Times New Roman"/>
          <w:i/>
          <w:sz w:val="24"/>
          <w:szCs w:val="24"/>
        </w:rPr>
        <w:t>Language Awareness, 14</w:t>
      </w:r>
      <w:r w:rsidRPr="0003212A">
        <w:rPr>
          <w:rFonts w:ascii="Times New Roman" w:hAnsi="Times New Roman" w:cs="Times New Roman"/>
          <w:sz w:val="24"/>
          <w:szCs w:val="24"/>
        </w:rPr>
        <w:t xml:space="preserve">(2-3), 142-152. </w:t>
      </w:r>
    </w:p>
    <w:p w14:paraId="425A2BCE" w14:textId="184F51FC" w:rsidR="008C45F2" w:rsidRPr="0003212A" w:rsidRDefault="008C45F2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29E7">
        <w:rPr>
          <w:rFonts w:ascii="Times New Roman" w:hAnsi="Times New Roman" w:cs="Times New Roman"/>
          <w:color w:val="000000"/>
          <w:sz w:val="24"/>
          <w:szCs w:val="24"/>
        </w:rPr>
        <w:t xml:space="preserve">Reinhardt, J. &amp; Thorne, S. (2016). Metaphors for digital games and language learning. In F. Farr &amp; L. Murray (Eds.), </w:t>
      </w:r>
      <w:r w:rsidRPr="006529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Routledge handbook of language learning and technology </w:t>
      </w:r>
      <w:r w:rsidRPr="006529E7">
        <w:rPr>
          <w:rFonts w:ascii="Times New Roman" w:hAnsi="Times New Roman" w:cs="Times New Roman"/>
          <w:color w:val="000000"/>
          <w:sz w:val="24"/>
          <w:szCs w:val="24"/>
        </w:rPr>
        <w:t xml:space="preserve">(pp. 415–430). Routledge.  </w:t>
      </w:r>
    </w:p>
    <w:p w14:paraId="5D648431" w14:textId="77777777" w:rsidR="00EB1895" w:rsidRPr="0003212A" w:rsidRDefault="00EB1895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.L. (1980). Memory metaphors in c</w:t>
      </w:r>
      <w:r w:rsidRPr="0003212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ognitive 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psychology.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(3): 231–246.</w:t>
      </w:r>
    </w:p>
    <w:p w14:paraId="49CC8C0D" w14:textId="0F128CEF" w:rsidR="00A318CD" w:rsidRPr="00A318CD" w:rsidRDefault="00A318CD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&amp; Florio-Ruane, S. (2008). The metaphors by which we teach: Experience, metaphor, and culture in teacher education. In M. Cochran-Smith,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Feiman-Nemser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J. McIntyre, &amp; K. E. Demers (Eds.),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 of research on teacher education: Enduring questions in changing contexts</w:t>
      </w:r>
      <w:r>
        <w:rPr>
          <w:rFonts w:ascii="Times New Roman" w:hAnsi="Times New Roman" w:cs="Times New Roman"/>
          <w:sz w:val="24"/>
          <w:szCs w:val="24"/>
        </w:rPr>
        <w:t xml:space="preserve"> (pp. </w:t>
      </w:r>
      <w:r w:rsidR="001D545F">
        <w:rPr>
          <w:rFonts w:ascii="Times New Roman" w:hAnsi="Times New Roman" w:cs="Times New Roman"/>
          <w:sz w:val="24"/>
          <w:szCs w:val="24"/>
        </w:rPr>
        <w:t>706-731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B0C4A">
        <w:rPr>
          <w:rFonts w:ascii="Times New Roman" w:hAnsi="Times New Roman" w:cs="Times New Roman"/>
          <w:sz w:val="24"/>
          <w:szCs w:val="24"/>
        </w:rPr>
        <w:t>Routledge.</w:t>
      </w:r>
    </w:p>
    <w:p w14:paraId="0A0B5623" w14:textId="77777777" w:rsidR="00A318CD" w:rsidRDefault="00A318CD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831CC" w14:textId="4725A3D7" w:rsidR="00845686" w:rsidRDefault="00845686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>Roy, C. B. (1993). The problem with definitions, descriptions, and the role metaphors of interpreters. 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Journal of Interpretation</w:t>
      </w:r>
      <w:r w:rsidRPr="0003212A">
        <w:rPr>
          <w:rFonts w:ascii="Times New Roman" w:hAnsi="Times New Roman" w:cs="Times New Roman"/>
          <w:sz w:val="24"/>
          <w:szCs w:val="24"/>
        </w:rPr>
        <w:t>, 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3212A">
        <w:rPr>
          <w:rFonts w:ascii="Times New Roman" w:hAnsi="Times New Roman" w:cs="Times New Roman"/>
          <w:sz w:val="24"/>
          <w:szCs w:val="24"/>
        </w:rPr>
        <w:t>(1), 127-154.</w:t>
      </w:r>
    </w:p>
    <w:p w14:paraId="2A5ABA6E" w14:textId="1BEAEF67" w:rsidR="00BA1078" w:rsidRDefault="00BA1078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EF0EB3" w14:textId="5413990E" w:rsidR="00BA1078" w:rsidRPr="0003212A" w:rsidRDefault="00BA1078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529E7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6529E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6529E7">
        <w:rPr>
          <w:rFonts w:ascii="Times New Roman" w:eastAsia="Times New Roman" w:hAnsi="Times New Roman" w:cs="Times New Roman"/>
          <w:sz w:val="24"/>
          <w:szCs w:val="24"/>
        </w:rPr>
        <w:t>pankova</w:t>
      </w:r>
      <w:proofErr w:type="spellEnd"/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, M. (2010). Toward mastering the discourses of reasoning: Use of grammatical metaphor at advanced levels of foreign language acquisition.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>(2), 181-197.</w:t>
      </w:r>
    </w:p>
    <w:p w14:paraId="0EAADF9C" w14:textId="77777777" w:rsidR="00845686" w:rsidRPr="0003212A" w:rsidRDefault="00845686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D2AFC5" w14:textId="72F98219" w:rsidR="006725D5" w:rsidRPr="006725D5" w:rsidRDefault="006725D5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526569309"/>
      <w:r w:rsidRPr="006725D5">
        <w:rPr>
          <w:rFonts w:ascii="Times New Roman" w:eastAsia="Times New Roman" w:hAnsi="Times New Roman" w:cs="Times New Roman"/>
          <w:sz w:val="24"/>
          <w:szCs w:val="24"/>
        </w:rPr>
        <w:t xml:space="preserve">Saban, A., </w:t>
      </w:r>
      <w:proofErr w:type="spellStart"/>
      <w:r w:rsidRPr="006725D5">
        <w:rPr>
          <w:rFonts w:ascii="Times New Roman" w:eastAsia="Times New Roman" w:hAnsi="Times New Roman" w:cs="Times New Roman"/>
          <w:sz w:val="24"/>
          <w:szCs w:val="24"/>
        </w:rPr>
        <w:t>Kocbeker</w:t>
      </w:r>
      <w:proofErr w:type="spellEnd"/>
      <w:r w:rsidRPr="006725D5">
        <w:rPr>
          <w:rFonts w:ascii="Times New Roman" w:eastAsia="Times New Roman" w:hAnsi="Times New Roman" w:cs="Times New Roman"/>
          <w:sz w:val="24"/>
          <w:szCs w:val="24"/>
        </w:rPr>
        <w:t xml:space="preserve">, B. N., &amp; Saban, A. (2007). Prospective teachers' conceptions of teaching and learning revealed through metaphor analysis. </w:t>
      </w:r>
      <w:r w:rsidRPr="00672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Learning and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725D5">
        <w:rPr>
          <w:rFonts w:ascii="Times New Roman" w:eastAsia="Times New Roman" w:hAnsi="Times New Roman" w:cs="Times New Roman"/>
          <w:i/>
          <w:iCs/>
          <w:sz w:val="24"/>
          <w:szCs w:val="24"/>
        </w:rPr>
        <w:t>nstruction</w:t>
      </w:r>
      <w:r w:rsidRPr="00672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25D5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725D5">
        <w:rPr>
          <w:rFonts w:ascii="Times New Roman" w:eastAsia="Times New Roman" w:hAnsi="Times New Roman" w:cs="Times New Roman"/>
          <w:sz w:val="24"/>
          <w:szCs w:val="24"/>
        </w:rPr>
        <w:t>(2), 123-139.</w:t>
      </w:r>
    </w:p>
    <w:p w14:paraId="40403C55" w14:textId="77777777" w:rsidR="006725D5" w:rsidRPr="0003212A" w:rsidRDefault="006725D5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747978" w14:textId="16A7151E" w:rsidR="00AE6643" w:rsidRPr="0003212A" w:rsidRDefault="00AE6643" w:rsidP="00032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Sakui, K., &amp; </w:t>
      </w:r>
      <w:proofErr w:type="spellStart"/>
      <w:r w:rsidRPr="0003212A">
        <w:rPr>
          <w:rFonts w:ascii="Times New Roman" w:hAnsi="Times New Roman" w:cs="Times New Roman"/>
          <w:sz w:val="24"/>
          <w:szCs w:val="24"/>
        </w:rPr>
        <w:t>Gaies</w:t>
      </w:r>
      <w:proofErr w:type="spellEnd"/>
      <w:r w:rsidRPr="0003212A">
        <w:rPr>
          <w:rFonts w:ascii="Times New Roman" w:hAnsi="Times New Roman" w:cs="Times New Roman"/>
          <w:sz w:val="24"/>
          <w:szCs w:val="24"/>
        </w:rPr>
        <w:t xml:space="preserve">, S. (2003). A case study: Beliefs and metaphors of a Japanese teacher of English. In J. P. Kalaja &amp; A. M. Ferreira Barcelos (Eds.), </w:t>
      </w:r>
      <w:r w:rsidRPr="0003212A">
        <w:rPr>
          <w:rFonts w:ascii="Times New Roman" w:hAnsi="Times New Roman" w:cs="Times New Roman"/>
          <w:i/>
          <w:iCs/>
          <w:sz w:val="24"/>
          <w:szCs w:val="24"/>
        </w:rPr>
        <w:t>Beliefs about SLA: New research approaches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153-170). Springer.</w:t>
      </w:r>
      <w:bookmarkEnd w:id="9"/>
    </w:p>
    <w:p w14:paraId="287F02A6" w14:textId="77777777" w:rsidR="00AE6643" w:rsidRPr="0003212A" w:rsidRDefault="00AE6643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5800724" w14:textId="01B16B78" w:rsidR="001F2A50" w:rsidRPr="0003212A" w:rsidRDefault="001F2A50" w:rsidP="0003212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32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Schmitt, R. (2005). Systematic metaphor analysis as a method of qualitative research</w:t>
      </w:r>
      <w:r w:rsidRPr="00032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032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The Qualitative Report</w:t>
      </w:r>
      <w:r w:rsidRPr="00032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032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(2), 358-394. Retrieved from </w:t>
      </w:r>
      <w:hyperlink r:id="rId12" w:history="1">
        <w:r w:rsidRPr="0003212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http://nsuworks.nova.edu/tqr/vol10/iss2/10</w:t>
        </w:r>
      </w:hyperlink>
    </w:p>
    <w:p w14:paraId="05BBBF9E" w14:textId="77777777" w:rsidR="001F2A50" w:rsidRPr="0003212A" w:rsidRDefault="001F2A50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3021F7" w14:textId="22E1D8EC" w:rsidR="009C6AA7" w:rsidRPr="0003212A" w:rsidRDefault="009C6AA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Semino, E. (2008).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in discourse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7593FC96" w14:textId="77777777" w:rsidR="00692FD4" w:rsidRPr="0003212A" w:rsidRDefault="00692FD4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4DEA12" w14:textId="77777777" w:rsidR="00692FD4" w:rsidRPr="0003212A" w:rsidRDefault="00692FD4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12A">
        <w:rPr>
          <w:rFonts w:ascii="Times New Roman" w:eastAsia="Times New Roman" w:hAnsi="Times New Roman" w:cs="Times New Roman"/>
          <w:sz w:val="24"/>
          <w:szCs w:val="24"/>
        </w:rPr>
        <w:t>Sergiovanni</w:t>
      </w:r>
      <w:proofErr w:type="spellEnd"/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T. J. (1994). Organizations or communities? Changing the metaphor changes the theory.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Administration Quarterly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(2), 214-226.</w:t>
      </w:r>
    </w:p>
    <w:p w14:paraId="4D199DD0" w14:textId="77777777" w:rsidR="00692FD4" w:rsidRPr="0003212A" w:rsidRDefault="00692FD4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4FBDB6" w14:textId="7D3BC160" w:rsidR="005830C6" w:rsidRPr="0003212A" w:rsidRDefault="005830C6" w:rsidP="0003212A">
      <w:pPr>
        <w:pStyle w:val="BodyText"/>
        <w:spacing w:before="1"/>
        <w:ind w:left="720" w:hanging="720"/>
      </w:pPr>
      <w:r w:rsidRPr="0003212A">
        <w:t>Seung,</w:t>
      </w:r>
      <w:r w:rsidRPr="0003212A">
        <w:rPr>
          <w:spacing w:val="-1"/>
        </w:rPr>
        <w:t xml:space="preserve"> </w:t>
      </w:r>
      <w:r w:rsidRPr="0003212A">
        <w:t>E.,</w:t>
      </w:r>
      <w:r w:rsidRPr="0003212A">
        <w:rPr>
          <w:spacing w:val="-1"/>
        </w:rPr>
        <w:t xml:space="preserve"> </w:t>
      </w:r>
      <w:r w:rsidRPr="0003212A">
        <w:t>Park,</w:t>
      </w:r>
      <w:r w:rsidRPr="0003212A">
        <w:rPr>
          <w:spacing w:val="-1"/>
        </w:rPr>
        <w:t xml:space="preserve"> </w:t>
      </w:r>
      <w:r w:rsidRPr="0003212A">
        <w:t>S.,</w:t>
      </w:r>
      <w:r w:rsidRPr="0003212A">
        <w:rPr>
          <w:spacing w:val="1"/>
        </w:rPr>
        <w:t xml:space="preserve"> </w:t>
      </w:r>
      <w:r w:rsidRPr="0003212A">
        <w:t>&amp;</w:t>
      </w:r>
      <w:r w:rsidRPr="0003212A">
        <w:rPr>
          <w:spacing w:val="-3"/>
        </w:rPr>
        <w:t xml:space="preserve"> </w:t>
      </w:r>
      <w:r w:rsidRPr="0003212A">
        <w:t>Jung,</w:t>
      </w:r>
      <w:r w:rsidRPr="0003212A">
        <w:rPr>
          <w:spacing w:val="-1"/>
        </w:rPr>
        <w:t xml:space="preserve"> </w:t>
      </w:r>
      <w:r w:rsidRPr="0003212A">
        <w:t>J.</w:t>
      </w:r>
      <w:r w:rsidRPr="0003212A">
        <w:rPr>
          <w:spacing w:val="-1"/>
        </w:rPr>
        <w:t xml:space="preserve"> </w:t>
      </w:r>
      <w:r w:rsidRPr="0003212A">
        <w:t>(2015).</w:t>
      </w:r>
      <w:r w:rsidRPr="0003212A">
        <w:rPr>
          <w:spacing w:val="-1"/>
        </w:rPr>
        <w:t xml:space="preserve"> </w:t>
      </w:r>
      <w:r w:rsidRPr="0003212A">
        <w:t>Methodical</w:t>
      </w:r>
      <w:r w:rsidRPr="0003212A">
        <w:rPr>
          <w:spacing w:val="2"/>
        </w:rPr>
        <w:t xml:space="preserve"> </w:t>
      </w:r>
      <w:r w:rsidRPr="0003212A">
        <w:t>approaches</w:t>
      </w:r>
      <w:r w:rsidRPr="0003212A">
        <w:rPr>
          <w:spacing w:val="-1"/>
        </w:rPr>
        <w:t xml:space="preserve"> </w:t>
      </w:r>
      <w:r w:rsidRPr="0003212A">
        <w:t>and</w:t>
      </w:r>
      <w:r w:rsidRPr="0003212A">
        <w:rPr>
          <w:spacing w:val="-1"/>
        </w:rPr>
        <w:t xml:space="preserve"> </w:t>
      </w:r>
      <w:r w:rsidRPr="0003212A">
        <w:t>strategies</w:t>
      </w:r>
      <w:r w:rsidRPr="0003212A">
        <w:rPr>
          <w:spacing w:val="-1"/>
        </w:rPr>
        <w:t xml:space="preserve"> </w:t>
      </w:r>
      <w:r w:rsidRPr="0003212A">
        <w:t>for elicited</w:t>
      </w:r>
      <w:r w:rsidRPr="0003212A">
        <w:rPr>
          <w:spacing w:val="-2"/>
        </w:rPr>
        <w:t xml:space="preserve"> </w:t>
      </w:r>
      <w:r w:rsidRPr="0003212A">
        <w:t>metaphor-based</w:t>
      </w:r>
      <w:r w:rsidRPr="0003212A">
        <w:rPr>
          <w:spacing w:val="-1"/>
        </w:rPr>
        <w:t xml:space="preserve"> </w:t>
      </w:r>
      <w:r w:rsidRPr="0003212A">
        <w:t>research:</w:t>
      </w:r>
      <w:r w:rsidRPr="0003212A">
        <w:rPr>
          <w:spacing w:val="-1"/>
        </w:rPr>
        <w:t xml:space="preserve"> </w:t>
      </w:r>
      <w:r w:rsidRPr="0003212A">
        <w:t>A</w:t>
      </w:r>
      <w:r w:rsidRPr="0003212A">
        <w:rPr>
          <w:spacing w:val="-1"/>
        </w:rPr>
        <w:t xml:space="preserve"> </w:t>
      </w:r>
      <w:r w:rsidRPr="0003212A">
        <w:t>critical</w:t>
      </w:r>
      <w:r w:rsidRPr="0003212A">
        <w:rPr>
          <w:spacing w:val="-1"/>
        </w:rPr>
        <w:t xml:space="preserve"> </w:t>
      </w:r>
      <w:r w:rsidRPr="0003212A">
        <w:t>review.</w:t>
      </w:r>
      <w:r w:rsidRPr="0003212A">
        <w:rPr>
          <w:spacing w:val="-1"/>
        </w:rPr>
        <w:t xml:space="preserve"> </w:t>
      </w:r>
      <w:r w:rsidRPr="0003212A">
        <w:t>In</w:t>
      </w:r>
      <w:r w:rsidRPr="0003212A">
        <w:rPr>
          <w:spacing w:val="-1"/>
        </w:rPr>
        <w:t xml:space="preserve"> </w:t>
      </w:r>
      <w:r w:rsidRPr="0003212A">
        <w:t>W.</w:t>
      </w:r>
      <w:r w:rsidRPr="0003212A">
        <w:rPr>
          <w:spacing w:val="-1"/>
        </w:rPr>
        <w:t xml:space="preserve"> </w:t>
      </w:r>
      <w:r w:rsidRPr="0003212A">
        <w:t>Wan</w:t>
      </w:r>
      <w:r w:rsidRPr="0003212A">
        <w:rPr>
          <w:spacing w:val="-1"/>
        </w:rPr>
        <w:t xml:space="preserve"> </w:t>
      </w:r>
      <w:r w:rsidRPr="0003212A">
        <w:t>&amp;</w:t>
      </w:r>
      <w:r w:rsidRPr="0003212A">
        <w:rPr>
          <w:spacing w:val="-3"/>
        </w:rPr>
        <w:t xml:space="preserve"> </w:t>
      </w:r>
      <w:r w:rsidRPr="0003212A">
        <w:t>G. Low</w:t>
      </w:r>
      <w:r w:rsidRPr="0003212A">
        <w:rPr>
          <w:spacing w:val="-57"/>
        </w:rPr>
        <w:t xml:space="preserve"> </w:t>
      </w:r>
      <w:r w:rsidRPr="0003212A">
        <w:t>(Eds)</w:t>
      </w:r>
      <w:r w:rsidRPr="0003212A">
        <w:rPr>
          <w:spacing w:val="-1"/>
        </w:rPr>
        <w:t xml:space="preserve"> </w:t>
      </w:r>
      <w:r w:rsidRPr="0003212A">
        <w:rPr>
          <w:i/>
        </w:rPr>
        <w:t>Elicited metaphors</w:t>
      </w:r>
      <w:r w:rsidRPr="0003212A">
        <w:rPr>
          <w:i/>
          <w:spacing w:val="2"/>
        </w:rPr>
        <w:t xml:space="preserve"> </w:t>
      </w:r>
      <w:r w:rsidRPr="0003212A">
        <w:rPr>
          <w:i/>
        </w:rPr>
        <w:t>analysis in educational</w:t>
      </w:r>
      <w:r w:rsidRPr="0003212A">
        <w:rPr>
          <w:i/>
          <w:spacing w:val="-1"/>
        </w:rPr>
        <w:t xml:space="preserve"> </w:t>
      </w:r>
      <w:r w:rsidRPr="0003212A">
        <w:rPr>
          <w:i/>
        </w:rPr>
        <w:t>discourse</w:t>
      </w:r>
      <w:r w:rsidRPr="0003212A">
        <w:rPr>
          <w:i/>
          <w:spacing w:val="2"/>
        </w:rPr>
        <w:t xml:space="preserve"> </w:t>
      </w:r>
      <w:r w:rsidRPr="0003212A">
        <w:t xml:space="preserve">(pp. 39-64). </w:t>
      </w:r>
      <w:r w:rsidR="00205458">
        <w:t>John Benjamins.</w:t>
      </w:r>
    </w:p>
    <w:p w14:paraId="572B7F59" w14:textId="77777777" w:rsidR="005830C6" w:rsidRPr="0003212A" w:rsidRDefault="005830C6" w:rsidP="0003212A">
      <w:pPr>
        <w:pStyle w:val="BodyText"/>
        <w:spacing w:before="1"/>
        <w:ind w:left="720" w:hanging="720"/>
      </w:pPr>
    </w:p>
    <w:p w14:paraId="6AC81644" w14:textId="662CBB4D" w:rsidR="00CA71B7" w:rsidRPr="0003212A" w:rsidRDefault="00CA71B7" w:rsidP="0003212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Silverstein, M. (1996). Monoglot ‘standard’ in America: Standardization and metaphors of linguistic hegemony. In D. Brenneis &amp; R. H. S. Macaulay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The matrix of language: contemporary linguistic anthropology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284-306). Westview Press. </w:t>
      </w:r>
    </w:p>
    <w:p w14:paraId="190B2983" w14:textId="35D3BC35" w:rsidR="00B14DCA" w:rsidRPr="0003212A" w:rsidRDefault="00B14DC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Soskice, J. M. (1987).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religious language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5C445557" w14:textId="77777777" w:rsidR="00B14DCA" w:rsidRPr="0003212A" w:rsidRDefault="00B14DC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8AC0C6" w14:textId="77777777" w:rsidR="006F7C79" w:rsidRPr="0003212A" w:rsidRDefault="006F7C79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Steen, G. (1994).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metaphor in literature: An empirical approach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. London, UK: Longman Publishing Group.</w:t>
      </w:r>
    </w:p>
    <w:p w14:paraId="1A12416D" w14:textId="77777777" w:rsidR="006F7C79" w:rsidRPr="0003212A" w:rsidRDefault="006F7C79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64AFBD" w14:textId="1D2813EE" w:rsidR="00460C51" w:rsidRPr="0003212A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Steen, G. (1999). Metaphor and discourse: Towards a linguistic checklist for metaphor analysis.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81-104).  Cambridge University Press. </w:t>
      </w:r>
    </w:p>
    <w:p w14:paraId="36B6C7E4" w14:textId="77777777" w:rsidR="00A95467" w:rsidRPr="0003212A" w:rsidRDefault="00A9546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Stone, C. A. (1998). The metaphor of scaffolding its utility for the field of learning disabilities.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learning disabilities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(4), 344-364.</w:t>
      </w:r>
    </w:p>
    <w:p w14:paraId="2B1D7D3A" w14:textId="12FDADF7" w:rsidR="004F4865" w:rsidRPr="0003212A" w:rsidRDefault="004F4865" w:rsidP="0003212A">
      <w:pPr>
        <w:pStyle w:val="NormalWeb"/>
        <w:ind w:left="720" w:hanging="720"/>
      </w:pPr>
      <w:r w:rsidRPr="0003212A">
        <w:t>Sullivan, W., &amp; Rees, J. (2008). </w:t>
      </w:r>
      <w:r w:rsidRPr="0003212A">
        <w:rPr>
          <w:i/>
          <w:iCs/>
        </w:rPr>
        <w:t>Clean language: Revealing metaphors and opening minds</w:t>
      </w:r>
      <w:r w:rsidRPr="0003212A">
        <w:t>. Crown House Publishing.</w:t>
      </w:r>
    </w:p>
    <w:p w14:paraId="2DC366AE" w14:textId="0DE79FFC" w:rsidR="000C076A" w:rsidRDefault="000C076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076A">
        <w:rPr>
          <w:rFonts w:ascii="Times New Roman" w:eastAsia="Times New Roman" w:hAnsi="Times New Roman" w:cs="Times New Roman"/>
          <w:sz w:val="24"/>
          <w:szCs w:val="24"/>
        </w:rPr>
        <w:t xml:space="preserve">Thomas, L., &amp; Beauchamp, C. (2011). Understanding new teachers’ professional identities through metaphor. </w:t>
      </w:r>
      <w:r w:rsidRPr="000C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</w:t>
      </w:r>
      <w:r w:rsidR="00205458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C076A">
        <w:rPr>
          <w:rFonts w:ascii="Times New Roman" w:eastAsia="Times New Roman" w:hAnsi="Times New Roman" w:cs="Times New Roman"/>
          <w:i/>
          <w:iCs/>
          <w:sz w:val="24"/>
          <w:szCs w:val="24"/>
        </w:rPr>
        <w:t>eacher Education</w:t>
      </w:r>
      <w:r w:rsidRPr="000C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076A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C076A">
        <w:rPr>
          <w:rFonts w:ascii="Times New Roman" w:eastAsia="Times New Roman" w:hAnsi="Times New Roman" w:cs="Times New Roman"/>
          <w:sz w:val="24"/>
          <w:szCs w:val="24"/>
        </w:rPr>
        <w:t>(4), 762-769.</w:t>
      </w:r>
    </w:p>
    <w:p w14:paraId="09F135FB" w14:textId="77777777" w:rsidR="00B9614C" w:rsidRPr="000C076A" w:rsidRDefault="00B9614C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00BC21" w14:textId="25915559" w:rsidR="00460C51" w:rsidRDefault="00460C51" w:rsidP="0003212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 xml:space="preserve">Todd, Z., &amp; Clarke, D. D. (1999). When is a dead rainbow not like a dead rainbow? A context-sensitive method for investigating differences between metaphor and simile. In L. Cameron &amp; G. Low (Eds.), </w:t>
      </w:r>
      <w:r w:rsidRPr="0003212A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03212A">
        <w:rPr>
          <w:rFonts w:ascii="Times New Roman" w:hAnsi="Times New Roman" w:cs="Times New Roman"/>
          <w:sz w:val="24"/>
          <w:szCs w:val="24"/>
        </w:rPr>
        <w:t xml:space="preserve"> (pp. 249-268).  Cambridge University Press. </w:t>
      </w:r>
    </w:p>
    <w:p w14:paraId="53EF983E" w14:textId="7368EB0E" w:rsidR="0079748D" w:rsidRDefault="0079748D" w:rsidP="007974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29E7">
        <w:rPr>
          <w:rFonts w:ascii="Times New Roman" w:hAnsi="Times New Roman" w:cs="Times New Roman"/>
          <w:sz w:val="24"/>
          <w:szCs w:val="24"/>
        </w:rPr>
        <w:t xml:space="preserve">Vinall, K., &amp; Hellmich, E. A. (2021). Down the rabbit hole: Machine translation, metaphor, and instructor identity and agency. </w:t>
      </w:r>
      <w:r w:rsidRPr="006529E7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6529E7">
        <w:rPr>
          <w:rFonts w:ascii="Times New Roman" w:hAnsi="Times New Roman" w:cs="Times New Roman"/>
          <w:sz w:val="24"/>
          <w:szCs w:val="24"/>
        </w:rPr>
        <w:t xml:space="preserve">(1), 99-118. </w:t>
      </w:r>
    </w:p>
    <w:p w14:paraId="1B0E7CA3" w14:textId="77777777" w:rsidR="0079748D" w:rsidRPr="006529E7" w:rsidRDefault="0079748D" w:rsidP="007974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3E0FCF" w14:textId="77777777" w:rsidR="008243AA" w:rsidRPr="0003212A" w:rsidRDefault="008243A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Williams, D. R., Patterson, M. E., Roggenbuck, J. W., &amp; Watson, A. E. (1992). Beyond the commodity metaphor: Examining emotional and symbolic attachment to place.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Leisure Sciences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>(1), 29-46.</w:t>
      </w:r>
    </w:p>
    <w:p w14:paraId="68F15F86" w14:textId="28AFA64C" w:rsidR="008243AA" w:rsidRDefault="008243AA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8B8992" w14:textId="74CDCE3F" w:rsidR="002F7FF7" w:rsidRDefault="002F7FF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Winner, E. (1997). </w:t>
      </w:r>
      <w:r w:rsidRPr="006529E7">
        <w:rPr>
          <w:rFonts w:ascii="Times New Roman" w:eastAsia="Times New Roman" w:hAnsi="Times New Roman" w:cs="Times New Roman"/>
          <w:i/>
          <w:iCs/>
          <w:sz w:val="24"/>
          <w:szCs w:val="24"/>
        </w:rPr>
        <w:t>The point of words: Children's understanding of metaphor and irony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. Harvard University Press.  </w:t>
      </w:r>
    </w:p>
    <w:p w14:paraId="166E4A04" w14:textId="77777777" w:rsidR="002F7FF7" w:rsidRPr="0003212A" w:rsidRDefault="002F7FF7" w:rsidP="00032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EA841B" w14:textId="371F54E4" w:rsidR="00D508FD" w:rsidRPr="0003212A" w:rsidRDefault="000768B0" w:rsidP="0003212A">
      <w:pPr>
        <w:pStyle w:val="reference"/>
        <w:tabs>
          <w:tab w:val="left" w:pos="9360"/>
        </w:tabs>
        <w:spacing w:after="20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3212A">
        <w:rPr>
          <w:rFonts w:ascii="Times New Roman" w:hAnsi="Times New Roman"/>
          <w:sz w:val="24"/>
          <w:szCs w:val="24"/>
        </w:rPr>
        <w:lastRenderedPageBreak/>
        <w:t>W</w:t>
      </w:r>
      <w:r w:rsidR="00D508FD" w:rsidRPr="0003212A">
        <w:rPr>
          <w:rFonts w:ascii="Times New Roman" w:hAnsi="Times New Roman"/>
          <w:sz w:val="24"/>
          <w:szCs w:val="24"/>
        </w:rPr>
        <w:t>oodward, T. (1991).</w:t>
      </w:r>
      <w:r w:rsidR="00D508FD" w:rsidRPr="0003212A">
        <w:rPr>
          <w:rFonts w:ascii="Times New Roman" w:hAnsi="Times New Roman"/>
          <w:i/>
          <w:sz w:val="24"/>
          <w:szCs w:val="24"/>
        </w:rPr>
        <w:t xml:space="preserve"> Models and metaphors in language teacher training. </w:t>
      </w:r>
      <w:r w:rsidR="00D508FD" w:rsidRPr="0003212A">
        <w:rPr>
          <w:rFonts w:ascii="Times New Roman" w:hAnsi="Times New Roman"/>
          <w:sz w:val="24"/>
          <w:szCs w:val="24"/>
        </w:rPr>
        <w:t>Cambridge University Press.</w:t>
      </w:r>
    </w:p>
    <w:p w14:paraId="4A99E32D" w14:textId="5DAEB78C" w:rsidR="00E129FB" w:rsidRPr="00E129FB" w:rsidRDefault="00E129FB" w:rsidP="0003212A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bookmarkStart w:id="10" w:name="_Hlk118292946"/>
      <w:proofErr w:type="spellStart"/>
      <w:r>
        <w:t>Yesilbursa</w:t>
      </w:r>
      <w:proofErr w:type="spellEnd"/>
      <w:r>
        <w:t xml:space="preserve">, A. (2012). Using metaphor to explore the professional role identities of higher education English language instructors. </w:t>
      </w:r>
      <w:r>
        <w:rPr>
          <w:i/>
          <w:iCs/>
        </w:rPr>
        <w:t>Procedia: Social and Behavioral Sciences, 46</w:t>
      </w:r>
      <w:r>
        <w:t xml:space="preserve">, 468-472. </w:t>
      </w:r>
      <w:r w:rsidRPr="00E129FB">
        <w:t>https://doi.org/10.1016/j.sbspro.2012.05.143</w:t>
      </w:r>
    </w:p>
    <w:bookmarkEnd w:id="10"/>
    <w:p w14:paraId="55DAACEA" w14:textId="0CAD096C" w:rsidR="007E1BAD" w:rsidRPr="0003212A" w:rsidRDefault="007E1BAD" w:rsidP="0003212A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03212A">
        <w:t xml:space="preserve">Yu, N. (1998). </w:t>
      </w:r>
      <w:r w:rsidRPr="0003212A">
        <w:rPr>
          <w:i/>
          <w:iCs/>
        </w:rPr>
        <w:t>The contemporary theory of metaphor: A perspective from Chinese</w:t>
      </w:r>
      <w:r w:rsidRPr="0003212A">
        <w:t xml:space="preserve">, </w:t>
      </w:r>
      <w:r w:rsidRPr="0003212A">
        <w:rPr>
          <w:i/>
        </w:rPr>
        <w:t>1</w:t>
      </w:r>
      <w:r w:rsidRPr="0003212A">
        <w:t xml:space="preserve">. </w:t>
      </w:r>
      <w:r w:rsidR="00205458">
        <w:t>John Benjamins.</w:t>
      </w:r>
    </w:p>
    <w:p w14:paraId="4128742F" w14:textId="77777777" w:rsidR="007E1BAD" w:rsidRPr="0003212A" w:rsidRDefault="007E1BAD" w:rsidP="0003212A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03212A">
        <w:t xml:space="preserve">Yu, N. (2011). A </w:t>
      </w:r>
      <w:proofErr w:type="spellStart"/>
      <w:r w:rsidRPr="0003212A">
        <w:t>decompositional</w:t>
      </w:r>
      <w:proofErr w:type="spellEnd"/>
      <w:r w:rsidRPr="0003212A">
        <w:t xml:space="preserve"> approach to metaphorical compound analysis: The case of a TV commercial. </w:t>
      </w:r>
      <w:r w:rsidRPr="0003212A">
        <w:rPr>
          <w:i/>
          <w:iCs/>
        </w:rPr>
        <w:t>Metaphor and Symbol</w:t>
      </w:r>
      <w:r w:rsidRPr="0003212A">
        <w:t xml:space="preserve">, </w:t>
      </w:r>
      <w:r w:rsidRPr="0003212A">
        <w:rPr>
          <w:i/>
          <w:iCs/>
        </w:rPr>
        <w:t>26</w:t>
      </w:r>
      <w:r w:rsidRPr="0003212A">
        <w:t>(4), 243-259.</w:t>
      </w:r>
    </w:p>
    <w:p w14:paraId="47FE0D7C" w14:textId="77777777" w:rsidR="007E1BAD" w:rsidRPr="0003212A" w:rsidRDefault="007E1BAD" w:rsidP="0003212A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03212A">
        <w:t xml:space="preserve">Yu, N. (2011). Beijing Olympics and Beijing opera: A multimodal metaphor in a CCTV Olympics commercial. </w:t>
      </w:r>
      <w:r w:rsidRPr="0003212A">
        <w:rPr>
          <w:i/>
          <w:iCs/>
        </w:rPr>
        <w:t>Cognitive Linguistics</w:t>
      </w:r>
      <w:r w:rsidRPr="0003212A">
        <w:t xml:space="preserve">, </w:t>
      </w:r>
      <w:r w:rsidRPr="0003212A">
        <w:rPr>
          <w:i/>
          <w:iCs/>
        </w:rPr>
        <w:t>22</w:t>
      </w:r>
      <w:r w:rsidRPr="0003212A">
        <w:t>(3), 595-628.</w:t>
      </w:r>
    </w:p>
    <w:p w14:paraId="683B89EE" w14:textId="3C6CB73A" w:rsidR="007E1BAD" w:rsidRPr="0003212A" w:rsidRDefault="007E1BAD" w:rsidP="0003212A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03212A">
        <w:t xml:space="preserve">Yu, N. (2012). The metaphorical orientation of time in Chinese. </w:t>
      </w:r>
      <w:r w:rsidRPr="0003212A">
        <w:rPr>
          <w:i/>
          <w:iCs/>
        </w:rPr>
        <w:t>Journal of Pragmatics</w:t>
      </w:r>
      <w:r w:rsidRPr="0003212A">
        <w:t xml:space="preserve">, </w:t>
      </w:r>
      <w:r w:rsidRPr="0003212A">
        <w:rPr>
          <w:i/>
          <w:iCs/>
        </w:rPr>
        <w:t>44</w:t>
      </w:r>
      <w:r w:rsidRPr="0003212A">
        <w:t>(10), 1335-1354.</w:t>
      </w:r>
    </w:p>
    <w:p w14:paraId="0C16A2AA" w14:textId="14AA422C" w:rsidR="00BE4D3E" w:rsidRDefault="00BE4D3E" w:rsidP="00BE4D3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4D3E">
        <w:rPr>
          <w:rFonts w:ascii="Times New Roman" w:eastAsia="Times New Roman" w:hAnsi="Times New Roman" w:cs="Times New Roman"/>
          <w:sz w:val="24"/>
          <w:szCs w:val="24"/>
        </w:rPr>
        <w:t>Zanotto, M. S., Cameron, L., &amp; Cavalcanti, M. C. (Eds.). (2008).</w:t>
      </w:r>
      <w:r w:rsidR="008C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C00">
        <w:rPr>
          <w:rFonts w:ascii="Times New Roman" w:eastAsia="Times New Roman" w:hAnsi="Times New Roman" w:cs="Times New Roman"/>
          <w:i/>
          <w:iCs/>
          <w:sz w:val="24"/>
          <w:szCs w:val="24"/>
        </w:rPr>
        <w:t>Confronting metaphor in use: An applied linguistic approach</w:t>
      </w:r>
      <w:r>
        <w:rPr>
          <w:rFonts w:ascii="Times New Roman" w:eastAsia="Times New Roman" w:hAnsi="Times New Roman" w:cs="Times New Roman"/>
          <w:sz w:val="24"/>
          <w:szCs w:val="24"/>
        </w:rPr>
        <w:t>. John Benjamins.</w:t>
      </w:r>
    </w:p>
    <w:p w14:paraId="34B95231" w14:textId="77777777" w:rsidR="00BE4D3E" w:rsidRDefault="00BE4D3E" w:rsidP="00BE4D3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29A49" w14:textId="7BAA0F01" w:rsidR="00B64077" w:rsidRDefault="00B64077" w:rsidP="00BE4D3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Zhang, F., &amp; Hu, J. (2009). A study of metaphor and its application in language teaching and learning.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Education Studies, 2</w:t>
      </w:r>
      <w:r>
        <w:rPr>
          <w:rFonts w:ascii="Times New Roman" w:hAnsi="Times New Roman" w:cs="Times New Roman"/>
          <w:sz w:val="24"/>
          <w:szCs w:val="24"/>
        </w:rPr>
        <w:t xml:space="preserve">(2), 77-81. </w:t>
      </w:r>
    </w:p>
    <w:p w14:paraId="591A7190" w14:textId="77777777" w:rsidR="00BE4D3E" w:rsidRPr="00B64077" w:rsidRDefault="00BE4D3E" w:rsidP="00BE4D3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9E033D" w14:textId="714CD274" w:rsidR="00205458" w:rsidRPr="00205458" w:rsidRDefault="00E25FC9" w:rsidP="0003212A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03212A">
        <w:rPr>
          <w:rFonts w:ascii="Times New Roman" w:hAnsi="Times New Roman" w:cs="Times New Roman"/>
          <w:sz w:val="24"/>
          <w:szCs w:val="24"/>
        </w:rPr>
        <w:t>Zheng, H., &amp;</w:t>
      </w:r>
      <w:r w:rsidRPr="000321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Song,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W.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(2010).</w:t>
      </w:r>
      <w:r w:rsidRPr="000321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Metaphor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analysis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in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the</w:t>
      </w:r>
      <w:r w:rsidRPr="000321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educational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discourse:</w:t>
      </w:r>
      <w:r w:rsidRPr="000321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>A</w:t>
      </w:r>
      <w:r w:rsidRPr="0003212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212A">
        <w:rPr>
          <w:rFonts w:ascii="Times New Roman" w:hAnsi="Times New Roman" w:cs="Times New Roman"/>
          <w:sz w:val="24"/>
          <w:szCs w:val="24"/>
        </w:rPr>
        <w:t xml:space="preserve">critical review. </w:t>
      </w:r>
      <w:r w:rsidRPr="0003212A">
        <w:rPr>
          <w:rFonts w:ascii="Times New Roman" w:hAnsi="Times New Roman" w:cs="Times New Roman"/>
          <w:i/>
          <w:sz w:val="24"/>
          <w:szCs w:val="24"/>
        </w:rPr>
        <w:t>US – China Foreign Language: Online Submission</w:t>
      </w:r>
      <w:r w:rsidR="00205458">
        <w:rPr>
          <w:rFonts w:ascii="Times New Roman" w:hAnsi="Times New Roman" w:cs="Times New Roman"/>
          <w:i/>
          <w:sz w:val="24"/>
          <w:szCs w:val="24"/>
        </w:rPr>
        <w:t>, 8</w:t>
      </w:r>
      <w:r w:rsidR="00205458" w:rsidRPr="00205458">
        <w:rPr>
          <w:rFonts w:ascii="Times New Roman" w:hAnsi="Times New Roman" w:cs="Times New Roman"/>
          <w:iCs/>
          <w:sz w:val="24"/>
          <w:szCs w:val="24"/>
        </w:rPr>
        <w:t>(9)</w:t>
      </w:r>
      <w:r w:rsidR="00205458">
        <w:rPr>
          <w:rFonts w:ascii="Times New Roman" w:hAnsi="Times New Roman" w:cs="Times New Roman"/>
          <w:iCs/>
          <w:sz w:val="24"/>
          <w:szCs w:val="24"/>
        </w:rPr>
        <w:t>, 42-49.</w:t>
      </w:r>
      <w:r w:rsidR="00205458" w:rsidRPr="00205458">
        <w:rPr>
          <w:rFonts w:ascii="Times New Roman" w:hAnsi="Times New Roman" w:cs="Times New Roman"/>
          <w:iCs/>
          <w:sz w:val="24"/>
          <w:szCs w:val="24"/>
        </w:rPr>
        <w:t xml:space="preserve">  https://files.eric.ed.gov/fulltext/ED514704.pdf</w:t>
      </w:r>
      <w:r w:rsidRPr="0020545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2B9BE41" w14:textId="2B53CEEA" w:rsidR="00E25FC9" w:rsidRPr="008B1CAC" w:rsidRDefault="00E25FC9" w:rsidP="008B1CA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Zheng, H. B., &amp; Song, W. J. (2010). Metaphor Analysis in the Educational Discourse: A Critical Review.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12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3212A">
        <w:rPr>
          <w:rFonts w:ascii="Times New Roman" w:eastAsia="Times New Roman" w:hAnsi="Times New Roman" w:cs="Times New Roman"/>
          <w:sz w:val="24"/>
          <w:szCs w:val="24"/>
        </w:rPr>
        <w:t xml:space="preserve">(9), 42-49. </w:t>
      </w:r>
      <w:hyperlink r:id="rId13" w:history="1">
        <w:r w:rsidR="0003212A" w:rsidRPr="0003212A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https://files.eric.ed.gov/fulltext/ED514704.pdf</w:t>
        </w:r>
      </w:hyperlink>
    </w:p>
    <w:sectPr w:rsidR="00E25FC9" w:rsidRPr="008B1CAC" w:rsidSect="0039469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B374" w14:textId="77777777" w:rsidR="006524BB" w:rsidRDefault="006524BB" w:rsidP="00CC4E10">
      <w:pPr>
        <w:spacing w:after="0" w:line="240" w:lineRule="auto"/>
      </w:pPr>
      <w:r>
        <w:separator/>
      </w:r>
    </w:p>
  </w:endnote>
  <w:endnote w:type="continuationSeparator" w:id="0">
    <w:p w14:paraId="6B32EB54" w14:textId="77777777" w:rsidR="006524BB" w:rsidRDefault="006524BB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DB1" w14:textId="273412F3" w:rsidR="00CC4E10" w:rsidRPr="001F10EF" w:rsidRDefault="001F10EF" w:rsidP="001F10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2ACF" w14:textId="77777777" w:rsidR="006524BB" w:rsidRDefault="006524BB" w:rsidP="00CC4E10">
      <w:pPr>
        <w:spacing w:after="0" w:line="240" w:lineRule="auto"/>
      </w:pPr>
      <w:r>
        <w:separator/>
      </w:r>
    </w:p>
  </w:footnote>
  <w:footnote w:type="continuationSeparator" w:id="0">
    <w:p w14:paraId="38204B25" w14:textId="77777777" w:rsidR="006524BB" w:rsidRDefault="006524BB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D184" w14:textId="7AE68136" w:rsidR="00CC4E10" w:rsidRPr="001F10EF" w:rsidRDefault="001F10EF" w:rsidP="001F10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7E35C" wp14:editId="7BDA2C3E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5"/>
    <w:rsid w:val="00000C06"/>
    <w:rsid w:val="00007B3C"/>
    <w:rsid w:val="000170B9"/>
    <w:rsid w:val="0003212A"/>
    <w:rsid w:val="00056172"/>
    <w:rsid w:val="00057513"/>
    <w:rsid w:val="000768B0"/>
    <w:rsid w:val="000827CE"/>
    <w:rsid w:val="00087B58"/>
    <w:rsid w:val="000A4D37"/>
    <w:rsid w:val="000C076A"/>
    <w:rsid w:val="000C7AA8"/>
    <w:rsid w:val="000D66FD"/>
    <w:rsid w:val="000E3367"/>
    <w:rsid w:val="00146CCB"/>
    <w:rsid w:val="00155BAF"/>
    <w:rsid w:val="00157167"/>
    <w:rsid w:val="00166D99"/>
    <w:rsid w:val="00180177"/>
    <w:rsid w:val="00184CDA"/>
    <w:rsid w:val="00191E59"/>
    <w:rsid w:val="001A6F60"/>
    <w:rsid w:val="001D545F"/>
    <w:rsid w:val="001D7E20"/>
    <w:rsid w:val="001F10EF"/>
    <w:rsid w:val="001F2A50"/>
    <w:rsid w:val="00201CC8"/>
    <w:rsid w:val="00202B9F"/>
    <w:rsid w:val="0020369F"/>
    <w:rsid w:val="00205458"/>
    <w:rsid w:val="00232C55"/>
    <w:rsid w:val="002A31D5"/>
    <w:rsid w:val="002D1A98"/>
    <w:rsid w:val="002D6344"/>
    <w:rsid w:val="002F7FF7"/>
    <w:rsid w:val="00300707"/>
    <w:rsid w:val="003145CA"/>
    <w:rsid w:val="00345754"/>
    <w:rsid w:val="0039469B"/>
    <w:rsid w:val="0039492F"/>
    <w:rsid w:val="003A4F29"/>
    <w:rsid w:val="003B09C4"/>
    <w:rsid w:val="003B433F"/>
    <w:rsid w:val="003B49B5"/>
    <w:rsid w:val="003C2083"/>
    <w:rsid w:val="00404982"/>
    <w:rsid w:val="00407D45"/>
    <w:rsid w:val="0041555D"/>
    <w:rsid w:val="00433293"/>
    <w:rsid w:val="00460C51"/>
    <w:rsid w:val="0046498F"/>
    <w:rsid w:val="004B794D"/>
    <w:rsid w:val="004C6CC0"/>
    <w:rsid w:val="004F4865"/>
    <w:rsid w:val="005045A1"/>
    <w:rsid w:val="0052518C"/>
    <w:rsid w:val="005830C6"/>
    <w:rsid w:val="005A7BF3"/>
    <w:rsid w:val="006048DC"/>
    <w:rsid w:val="00612D68"/>
    <w:rsid w:val="006470FE"/>
    <w:rsid w:val="006524BB"/>
    <w:rsid w:val="006725D5"/>
    <w:rsid w:val="00690458"/>
    <w:rsid w:val="00692FD4"/>
    <w:rsid w:val="006A451F"/>
    <w:rsid w:val="006F2DAA"/>
    <w:rsid w:val="006F7C79"/>
    <w:rsid w:val="007217E9"/>
    <w:rsid w:val="00754F40"/>
    <w:rsid w:val="007557B5"/>
    <w:rsid w:val="00762B94"/>
    <w:rsid w:val="0079748D"/>
    <w:rsid w:val="007B68D0"/>
    <w:rsid w:val="007E1BAD"/>
    <w:rsid w:val="007F12DA"/>
    <w:rsid w:val="007F5208"/>
    <w:rsid w:val="008033EB"/>
    <w:rsid w:val="00807C33"/>
    <w:rsid w:val="008166BD"/>
    <w:rsid w:val="008174E9"/>
    <w:rsid w:val="008243AA"/>
    <w:rsid w:val="00845686"/>
    <w:rsid w:val="00854342"/>
    <w:rsid w:val="0086568B"/>
    <w:rsid w:val="00891638"/>
    <w:rsid w:val="008B1CAC"/>
    <w:rsid w:val="008C1C00"/>
    <w:rsid w:val="008C45F2"/>
    <w:rsid w:val="008E215B"/>
    <w:rsid w:val="00915A3D"/>
    <w:rsid w:val="009A7B88"/>
    <w:rsid w:val="009C6AA7"/>
    <w:rsid w:val="009D7826"/>
    <w:rsid w:val="009E1D9C"/>
    <w:rsid w:val="009E66B3"/>
    <w:rsid w:val="009F0F4D"/>
    <w:rsid w:val="00A070CC"/>
    <w:rsid w:val="00A1284D"/>
    <w:rsid w:val="00A25095"/>
    <w:rsid w:val="00A318CD"/>
    <w:rsid w:val="00A5574C"/>
    <w:rsid w:val="00A6330E"/>
    <w:rsid w:val="00A92763"/>
    <w:rsid w:val="00A95467"/>
    <w:rsid w:val="00A9676C"/>
    <w:rsid w:val="00AE5245"/>
    <w:rsid w:val="00AE6643"/>
    <w:rsid w:val="00B02795"/>
    <w:rsid w:val="00B14DCA"/>
    <w:rsid w:val="00B577C0"/>
    <w:rsid w:val="00B64077"/>
    <w:rsid w:val="00B9614C"/>
    <w:rsid w:val="00BA1078"/>
    <w:rsid w:val="00BA7427"/>
    <w:rsid w:val="00BB2308"/>
    <w:rsid w:val="00BE4D3E"/>
    <w:rsid w:val="00C22355"/>
    <w:rsid w:val="00C23CB9"/>
    <w:rsid w:val="00CA71B7"/>
    <w:rsid w:val="00CC4E10"/>
    <w:rsid w:val="00CC52D1"/>
    <w:rsid w:val="00CC72B9"/>
    <w:rsid w:val="00CE66FC"/>
    <w:rsid w:val="00CE6D37"/>
    <w:rsid w:val="00D508FD"/>
    <w:rsid w:val="00D51F22"/>
    <w:rsid w:val="00D57763"/>
    <w:rsid w:val="00D81138"/>
    <w:rsid w:val="00DB0C4A"/>
    <w:rsid w:val="00DE7227"/>
    <w:rsid w:val="00E02742"/>
    <w:rsid w:val="00E129FB"/>
    <w:rsid w:val="00E20DCE"/>
    <w:rsid w:val="00E25FC9"/>
    <w:rsid w:val="00E27329"/>
    <w:rsid w:val="00E4535B"/>
    <w:rsid w:val="00E45E8E"/>
    <w:rsid w:val="00EB1895"/>
    <w:rsid w:val="00EB6E67"/>
    <w:rsid w:val="00ED0BE2"/>
    <w:rsid w:val="00ED7534"/>
    <w:rsid w:val="00EE753C"/>
    <w:rsid w:val="00EE75B3"/>
    <w:rsid w:val="00F239F0"/>
    <w:rsid w:val="00F305AA"/>
    <w:rsid w:val="00F774CF"/>
    <w:rsid w:val="00FB3F90"/>
    <w:rsid w:val="00FD77C2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8B6DC"/>
  <w15:docId w15:val="{76187F6B-21B3-4AB8-9360-AA9B51D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D508FD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10"/>
  </w:style>
  <w:style w:type="paragraph" w:styleId="Footer">
    <w:name w:val="footer"/>
    <w:basedOn w:val="Normal"/>
    <w:link w:val="FooterChar"/>
    <w:unhideWhenUsed/>
    <w:rsid w:val="00C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4E10"/>
  </w:style>
  <w:style w:type="character" w:styleId="PageNumber">
    <w:name w:val="page number"/>
    <w:basedOn w:val="DefaultParagraphFont"/>
    <w:rsid w:val="00CC4E10"/>
  </w:style>
  <w:style w:type="paragraph" w:styleId="Bibliography">
    <w:name w:val="Bibliography"/>
    <w:basedOn w:val="Normal"/>
    <w:next w:val="Normal"/>
    <w:uiPriority w:val="37"/>
    <w:semiHidden/>
    <w:unhideWhenUsed/>
    <w:rsid w:val="008033EB"/>
  </w:style>
  <w:style w:type="character" w:styleId="Emphasis">
    <w:name w:val="Emphasis"/>
    <w:basedOn w:val="DefaultParagraphFont"/>
    <w:uiPriority w:val="20"/>
    <w:qFormat/>
    <w:rsid w:val="007F5208"/>
    <w:rPr>
      <w:i/>
      <w:iCs/>
    </w:rPr>
  </w:style>
  <w:style w:type="character" w:styleId="Strong">
    <w:name w:val="Strong"/>
    <w:basedOn w:val="DefaultParagraphFont"/>
    <w:uiPriority w:val="22"/>
    <w:qFormat/>
    <w:rsid w:val="007F5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A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57B5"/>
  </w:style>
  <w:style w:type="character" w:customStyle="1" w:styleId="BodyTextChar">
    <w:name w:val="Body Text Char"/>
    <w:basedOn w:val="DefaultParagraphFont"/>
    <w:link w:val="BodyText"/>
    <w:uiPriority w:val="1"/>
    <w:rsid w:val="007F12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7F12DA"/>
    <w:pPr>
      <w:widowControl w:val="0"/>
      <w:autoSpaceDE w:val="0"/>
      <w:autoSpaceDN w:val="0"/>
      <w:spacing w:after="0" w:line="240" w:lineRule="auto"/>
      <w:ind w:left="1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7F12DA"/>
  </w:style>
  <w:style w:type="character" w:styleId="UnresolvedMention">
    <w:name w:val="Unresolved Mention"/>
    <w:basedOn w:val="DefaultParagraphFont"/>
    <w:uiPriority w:val="99"/>
    <w:semiHidden/>
    <w:unhideWhenUsed/>
    <w:rsid w:val="0046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221/ajte.2015v40n10.3" TargetMode="External"/><Relationship Id="rId13" Type="http://schemas.openxmlformats.org/officeDocument/2006/relationships/hyperlink" Target="https://files.eric.ed.gov/fulltext/ED5147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%2F160940691101000204" TargetMode="External"/><Relationship Id="rId12" Type="http://schemas.openxmlformats.org/officeDocument/2006/relationships/hyperlink" Target="http://nsuworks.nova.edu/tqr/vol10/iss2/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alnet.unirioja.es/descarga/articulo/2530647.pdf" TargetMode="External"/><Relationship Id="rId11" Type="http://schemas.openxmlformats.org/officeDocument/2006/relationships/hyperlink" Target="http://wac.colostate.edu/aw/articles/matsuda_jablonski2000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epository.brynmawr.edu/cgi/viewcontent.cgi?article=1008&amp;context=edu_pub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pository.brynmawr.edu/cgi/viewcontent.cgi?article=1008&amp;conte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7</cp:revision>
  <dcterms:created xsi:type="dcterms:W3CDTF">2022-11-02T21:39:00Z</dcterms:created>
  <dcterms:modified xsi:type="dcterms:W3CDTF">2022-12-05T21:24:00Z</dcterms:modified>
</cp:coreProperties>
</file>