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B25A" w14:textId="0CB8479D" w:rsidR="00E92609" w:rsidRPr="000D0F5B" w:rsidRDefault="007D639B" w:rsidP="000515A4">
      <w:pPr>
        <w:spacing w:after="0" w:line="240" w:lineRule="auto"/>
        <w:ind w:left="1008" w:right="288"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D0F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METADISCOURSE MARKERS: SELECTED REFERENCES</w:t>
      </w:r>
    </w:p>
    <w:p w14:paraId="392B4A21" w14:textId="1BCA3AA7" w:rsidR="00AB5B57" w:rsidRDefault="00AB5B57" w:rsidP="000515A4">
      <w:pPr>
        <w:spacing w:after="0" w:line="240" w:lineRule="auto"/>
        <w:ind w:left="1008" w:right="288"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(Last updated 7 May 2023)</w:t>
      </w:r>
    </w:p>
    <w:p w14:paraId="708A59DF" w14:textId="77777777" w:rsidR="000D0F5B" w:rsidRPr="000515A4" w:rsidRDefault="000D0F5B" w:rsidP="000515A4">
      <w:pPr>
        <w:spacing w:after="0" w:line="240" w:lineRule="auto"/>
        <w:ind w:left="1008" w:right="288"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21FF30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15A4">
        <w:rPr>
          <w:rFonts w:ascii="Times New Roman" w:hAnsi="Times New Roman" w:cs="Times New Roman"/>
          <w:sz w:val="24"/>
          <w:szCs w:val="24"/>
        </w:rPr>
        <w:t>Abdulaal</w:t>
      </w:r>
      <w:proofErr w:type="spellEnd"/>
      <w:r w:rsidRPr="000515A4">
        <w:rPr>
          <w:rFonts w:ascii="Times New Roman" w:hAnsi="Times New Roman" w:cs="Times New Roman"/>
          <w:sz w:val="24"/>
          <w:szCs w:val="24"/>
        </w:rPr>
        <w:t xml:space="preserve">, M. A. A. (2020). A cross-linguistic analysis of formulaic language and meta-discourse in linguistics research articles by natives and Arabs: Modeling Saudis and Egyptians. </w:t>
      </w:r>
      <w:r w:rsidRPr="000515A4">
        <w:rPr>
          <w:rFonts w:ascii="Times New Roman" w:hAnsi="Times New Roman" w:cs="Times New Roman"/>
          <w:i/>
          <w:iCs/>
          <w:sz w:val="24"/>
          <w:szCs w:val="24"/>
        </w:rPr>
        <w:t>Arab World English Journal, 11</w:t>
      </w:r>
      <w:r w:rsidRPr="000515A4">
        <w:rPr>
          <w:rFonts w:ascii="Times New Roman" w:hAnsi="Times New Roman" w:cs="Times New Roman"/>
          <w:sz w:val="24"/>
          <w:szCs w:val="24"/>
        </w:rPr>
        <w:t xml:space="preserve">(3). 193- 211.  DOI: </w:t>
      </w:r>
      <w:hyperlink r:id="rId7" w:history="1">
        <w:r w:rsidRPr="000515A4">
          <w:rPr>
            <w:rFonts w:ascii="Times New Roman" w:hAnsi="Times New Roman" w:cs="Times New Roman"/>
            <w:sz w:val="24"/>
            <w:szCs w:val="24"/>
          </w:rPr>
          <w:t>https://dx.doi.org/10.24093/awej/vol11no3.12</w:t>
        </w:r>
      </w:hyperlink>
      <w:r w:rsidRPr="00051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F44C9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sz w:val="24"/>
          <w:szCs w:val="24"/>
        </w:rPr>
      </w:pPr>
    </w:p>
    <w:p w14:paraId="0A479BC6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15A4">
        <w:rPr>
          <w:rFonts w:ascii="Times New Roman" w:hAnsi="Times New Roman" w:cs="Times New Roman"/>
          <w:sz w:val="24"/>
          <w:szCs w:val="24"/>
        </w:rPr>
        <w:t>Aimah</w:t>
      </w:r>
      <w:proofErr w:type="spellEnd"/>
      <w:r w:rsidRPr="000515A4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515A4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0515A4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0515A4">
        <w:rPr>
          <w:rFonts w:ascii="Times New Roman" w:hAnsi="Times New Roman" w:cs="Times New Roman"/>
          <w:sz w:val="24"/>
          <w:szCs w:val="24"/>
        </w:rPr>
        <w:t>Ifadah</w:t>
      </w:r>
      <w:proofErr w:type="spellEnd"/>
      <w:r w:rsidRPr="000515A4">
        <w:rPr>
          <w:rFonts w:ascii="Times New Roman" w:hAnsi="Times New Roman" w:cs="Times New Roman"/>
          <w:sz w:val="24"/>
          <w:szCs w:val="24"/>
        </w:rPr>
        <w:t xml:space="preserve">, M. (2019). </w:t>
      </w:r>
      <w:proofErr w:type="spellStart"/>
      <w:r w:rsidRPr="000515A4">
        <w:rPr>
          <w:rFonts w:ascii="Times New Roman" w:hAnsi="Times New Roman" w:cs="Times New Roman"/>
          <w:sz w:val="24"/>
          <w:szCs w:val="24"/>
        </w:rPr>
        <w:t>Metadiscourse</w:t>
      </w:r>
      <w:proofErr w:type="spellEnd"/>
      <w:r w:rsidRPr="000515A4">
        <w:rPr>
          <w:rFonts w:ascii="Times New Roman" w:hAnsi="Times New Roman" w:cs="Times New Roman"/>
          <w:sz w:val="24"/>
          <w:szCs w:val="24"/>
        </w:rPr>
        <w:t xml:space="preserve"> markers written in </w:t>
      </w:r>
      <w:proofErr w:type="gramStart"/>
      <w:r w:rsidRPr="000515A4">
        <w:rPr>
          <w:rFonts w:ascii="Times New Roman" w:hAnsi="Times New Roman" w:cs="Times New Roman"/>
          <w:sz w:val="24"/>
          <w:szCs w:val="24"/>
        </w:rPr>
        <w:t>introduction</w:t>
      </w:r>
      <w:proofErr w:type="gramEnd"/>
      <w:r w:rsidRPr="000515A4">
        <w:rPr>
          <w:rFonts w:ascii="Times New Roman" w:hAnsi="Times New Roman" w:cs="Times New Roman"/>
          <w:sz w:val="24"/>
          <w:szCs w:val="24"/>
        </w:rPr>
        <w:t xml:space="preserve"> section of final project of </w:t>
      </w:r>
      <w:proofErr w:type="spellStart"/>
      <w:r w:rsidRPr="000515A4">
        <w:rPr>
          <w:rFonts w:ascii="Times New Roman" w:hAnsi="Times New Roman" w:cs="Times New Roman"/>
          <w:sz w:val="24"/>
          <w:szCs w:val="24"/>
        </w:rPr>
        <w:t>Unimus</w:t>
      </w:r>
      <w:proofErr w:type="spellEnd"/>
      <w:r w:rsidRPr="000515A4">
        <w:rPr>
          <w:rFonts w:ascii="Times New Roman" w:hAnsi="Times New Roman" w:cs="Times New Roman"/>
          <w:sz w:val="24"/>
          <w:szCs w:val="24"/>
        </w:rPr>
        <w:t xml:space="preserve"> learners. </w:t>
      </w:r>
      <w:r w:rsidRPr="000515A4">
        <w:rPr>
          <w:rFonts w:ascii="Times New Roman" w:hAnsi="Times New Roman" w:cs="Times New Roman"/>
          <w:i/>
          <w:iCs/>
          <w:sz w:val="24"/>
          <w:szCs w:val="24"/>
        </w:rPr>
        <w:t>English Review: Journal of English Education, 7</w:t>
      </w:r>
      <w:r w:rsidRPr="000515A4">
        <w:rPr>
          <w:rFonts w:ascii="Times New Roman" w:hAnsi="Times New Roman" w:cs="Times New Roman"/>
          <w:sz w:val="24"/>
          <w:szCs w:val="24"/>
        </w:rPr>
        <w:t>(2), 109-118. DOI: 10.25134/</w:t>
      </w:r>
      <w:proofErr w:type="gramStart"/>
      <w:r w:rsidRPr="000515A4">
        <w:rPr>
          <w:rFonts w:ascii="Times New Roman" w:hAnsi="Times New Roman" w:cs="Times New Roman"/>
          <w:sz w:val="24"/>
          <w:szCs w:val="24"/>
        </w:rPr>
        <w:t>erjee.v</w:t>
      </w:r>
      <w:proofErr w:type="gramEnd"/>
      <w:r w:rsidRPr="000515A4">
        <w:rPr>
          <w:rFonts w:ascii="Times New Roman" w:hAnsi="Times New Roman" w:cs="Times New Roman"/>
          <w:sz w:val="24"/>
          <w:szCs w:val="24"/>
        </w:rPr>
        <w:t xml:space="preserve">7i2.1717 </w:t>
      </w:r>
    </w:p>
    <w:p w14:paraId="0DCFDBBB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sz w:val="24"/>
          <w:szCs w:val="24"/>
        </w:rPr>
      </w:pPr>
    </w:p>
    <w:p w14:paraId="782FAB68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15A4">
        <w:rPr>
          <w:rFonts w:ascii="Times New Roman" w:hAnsi="Times New Roman" w:cs="Times New Roman"/>
          <w:sz w:val="24"/>
          <w:szCs w:val="24"/>
        </w:rPr>
        <w:t>Akbaş</w:t>
      </w:r>
      <w:proofErr w:type="spellEnd"/>
      <w:r w:rsidRPr="000515A4">
        <w:rPr>
          <w:rFonts w:ascii="Times New Roman" w:hAnsi="Times New Roman" w:cs="Times New Roman"/>
          <w:sz w:val="24"/>
          <w:szCs w:val="24"/>
        </w:rPr>
        <w:t xml:space="preserve">, E. (2012). Exploring </w:t>
      </w:r>
      <w:proofErr w:type="spellStart"/>
      <w:r w:rsidRPr="000515A4">
        <w:rPr>
          <w:rFonts w:ascii="Times New Roman" w:hAnsi="Times New Roman" w:cs="Times New Roman"/>
          <w:sz w:val="24"/>
          <w:szCs w:val="24"/>
        </w:rPr>
        <w:t>metadiscourse</w:t>
      </w:r>
      <w:proofErr w:type="spellEnd"/>
      <w:r w:rsidRPr="000515A4">
        <w:rPr>
          <w:rFonts w:ascii="Times New Roman" w:hAnsi="Times New Roman" w:cs="Times New Roman"/>
          <w:sz w:val="24"/>
          <w:szCs w:val="24"/>
        </w:rPr>
        <w:t xml:space="preserve"> in master’s dissertation abstracts: Cultural and linguistic variations across postgraduate writers. </w:t>
      </w:r>
      <w:r w:rsidRPr="000515A4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 &amp; English Literature, 1</w:t>
      </w:r>
      <w:r w:rsidRPr="000515A4">
        <w:rPr>
          <w:rFonts w:ascii="Times New Roman" w:hAnsi="Times New Roman" w:cs="Times New Roman"/>
          <w:sz w:val="24"/>
          <w:szCs w:val="24"/>
        </w:rPr>
        <w:t>(1), 12-26.</w:t>
      </w:r>
    </w:p>
    <w:p w14:paraId="354880F0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sz w:val="24"/>
          <w:szCs w:val="24"/>
        </w:rPr>
      </w:pPr>
    </w:p>
    <w:p w14:paraId="57CFA2A0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15A4">
        <w:rPr>
          <w:rFonts w:ascii="Times New Roman" w:hAnsi="Times New Roman" w:cs="Times New Roman"/>
          <w:sz w:val="24"/>
          <w:szCs w:val="24"/>
        </w:rPr>
        <w:t>Anwardeen</w:t>
      </w:r>
      <w:proofErr w:type="spellEnd"/>
      <w:r w:rsidRPr="000515A4">
        <w:rPr>
          <w:rFonts w:ascii="Times New Roman" w:hAnsi="Times New Roman" w:cs="Times New Roman"/>
          <w:sz w:val="24"/>
          <w:szCs w:val="24"/>
        </w:rPr>
        <w:t xml:space="preserve">, N. H., </w:t>
      </w:r>
      <w:proofErr w:type="spellStart"/>
      <w:r w:rsidRPr="000515A4">
        <w:rPr>
          <w:rFonts w:ascii="Times New Roman" w:hAnsi="Times New Roman" w:cs="Times New Roman"/>
          <w:sz w:val="24"/>
          <w:szCs w:val="24"/>
        </w:rPr>
        <w:t>Luyee</w:t>
      </w:r>
      <w:proofErr w:type="spellEnd"/>
      <w:r w:rsidRPr="000515A4">
        <w:rPr>
          <w:rFonts w:ascii="Times New Roman" w:hAnsi="Times New Roman" w:cs="Times New Roman"/>
          <w:sz w:val="24"/>
          <w:szCs w:val="24"/>
        </w:rPr>
        <w:t xml:space="preserve">, E. O., Gabriel, J. I., &amp; </w:t>
      </w:r>
      <w:proofErr w:type="spellStart"/>
      <w:r w:rsidRPr="000515A4">
        <w:rPr>
          <w:rFonts w:ascii="Times New Roman" w:hAnsi="Times New Roman" w:cs="Times New Roman"/>
          <w:sz w:val="24"/>
          <w:szCs w:val="24"/>
        </w:rPr>
        <w:t>Kalajahi</w:t>
      </w:r>
      <w:proofErr w:type="spellEnd"/>
      <w:r w:rsidRPr="000515A4">
        <w:rPr>
          <w:rFonts w:ascii="Times New Roman" w:hAnsi="Times New Roman" w:cs="Times New Roman"/>
          <w:sz w:val="24"/>
          <w:szCs w:val="24"/>
        </w:rPr>
        <w:t xml:space="preserve">, S. A. (2013). An analysis: The usage of </w:t>
      </w:r>
      <w:proofErr w:type="spellStart"/>
      <w:r w:rsidRPr="000515A4">
        <w:rPr>
          <w:rFonts w:ascii="Times New Roman" w:hAnsi="Times New Roman" w:cs="Times New Roman"/>
          <w:sz w:val="24"/>
          <w:szCs w:val="24"/>
        </w:rPr>
        <w:t>metadiscourse</w:t>
      </w:r>
      <w:proofErr w:type="spellEnd"/>
      <w:r w:rsidRPr="000515A4">
        <w:rPr>
          <w:rFonts w:ascii="Times New Roman" w:hAnsi="Times New Roman" w:cs="Times New Roman"/>
          <w:sz w:val="24"/>
          <w:szCs w:val="24"/>
        </w:rPr>
        <w:t xml:space="preserve"> in argumentative writing 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by Malaysian tertiary level of students. 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Language Teaching, 6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(9), 83-96. DOI: 10.5539/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elt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>. v6n9p83.</w:t>
      </w:r>
    </w:p>
    <w:p w14:paraId="1889BC37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9EB90D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Assassi, T., &amp;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Benyelles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>, R. (2016). Formulaic language for improving communicative competence. 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Arab World English Journal (AWEJ), 7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(2), 163-176.</w:t>
      </w:r>
    </w:p>
    <w:p w14:paraId="4878A042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E1B44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15A4">
        <w:rPr>
          <w:rFonts w:ascii="Times New Roman" w:hAnsi="Times New Roman" w:cs="Times New Roman"/>
          <w:color w:val="000000"/>
          <w:sz w:val="24"/>
          <w:szCs w:val="24"/>
        </w:rPr>
        <w:t>Bal-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Gezegin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, B., &amp;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Baş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, M. (2020).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Metadiscourse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 in academic writing: A comparison of research articles and book reviews. 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Eurasian Journal of Applied Linguistics, 6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(1), 45-62. DOI: 10.32601/ejal.710204</w:t>
      </w:r>
    </w:p>
    <w:p w14:paraId="273B6DA2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8B6A1" w14:textId="4F9DAD29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Bouchemet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, T. (2019). Interactional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metadiscourse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 in applied linguistics master theses: A corpus-based comparative study. </w:t>
      </w:r>
      <w:r w:rsidRPr="000515A4">
        <w:rPr>
          <w:rFonts w:ascii="Times New Roman" w:hAnsi="Times New Roman" w:cs="Times New Roman"/>
          <w:color w:val="000000"/>
          <w:sz w:val="24"/>
          <w:szCs w:val="24"/>
          <w:rtl/>
        </w:rPr>
        <w:t>مجلة العلوم الإنسانية،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 (51) , 57–70. </w:t>
      </w:r>
      <w:hyperlink r:id="rId8" w:history="1">
        <w:r w:rsidR="00AB5B57" w:rsidRPr="000515A4">
          <w:rPr>
            <w:rStyle w:val="Hyperlink"/>
            <w:rFonts w:ascii="Times New Roman" w:hAnsi="Times New Roman" w:cs="Times New Roman"/>
            <w:sz w:val="24"/>
            <w:szCs w:val="24"/>
          </w:rPr>
          <w:t>http://revue.umc.edu.dz/index.php/h/article/view/3060</w:t>
        </w:r>
      </w:hyperlink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A5570F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2F76F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  <w:cs/>
        </w:rPr>
      </w:pP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Boudersa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, N. (2014). Connective expressions as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metadiscourse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 markers of writing quality in undergraduate students’ expository writing. </w:t>
      </w:r>
      <w:r w:rsidRPr="000515A4">
        <w:rPr>
          <w:rFonts w:ascii="Times New Roman" w:hAnsi="Times New Roman" w:cs="Times New Roman"/>
          <w:color w:val="000000"/>
          <w:sz w:val="24"/>
          <w:szCs w:val="24"/>
          <w:rtl/>
        </w:rPr>
        <w:t>مجلة العلوم الإنسانية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, 45-56.</w:t>
      </w:r>
      <w:r w:rsidRPr="000515A4">
        <w:rPr>
          <w:rFonts w:ascii="Times New Roman" w:hAnsi="Times New Roman" w:cs="Times New Roman"/>
          <w:color w:val="000000"/>
          <w:sz w:val="24"/>
          <w:szCs w:val="24"/>
          <w:cs/>
        </w:rPr>
        <w:t>‎</w:t>
      </w:r>
    </w:p>
    <w:p w14:paraId="2C72B451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3B38F6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Burneikaitė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, N. (2008).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Metadiscourse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 in linguistics master’s theses in English L1 and L2. 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KALBOTYRA, 59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(3), 38- 47. Doi: 10.15388/Klbt.2008.7591</w:t>
      </w:r>
    </w:p>
    <w:p w14:paraId="0986E10F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52BD5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Duruk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, E. (2017). Analysis of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metadiscourse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 markers in academic written discourse produced by Turkish researchers. 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Language and Linguistic Studies, 13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(1), 01-09.</w:t>
      </w:r>
    </w:p>
    <w:p w14:paraId="17C42F4C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F449A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Farjami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>, H. (2013). A corpus-based study of the lexical make-up of applied linguistics article abstracts. 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Teaching Language Skills, 32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(2), 27-50.</w:t>
      </w:r>
    </w:p>
    <w:p w14:paraId="15F68B2D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78097" w14:textId="345B1C1B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15A4">
        <w:rPr>
          <w:rFonts w:ascii="Times New Roman" w:hAnsi="Times New Roman" w:cs="Times New Roman"/>
          <w:color w:val="000000"/>
          <w:sz w:val="24"/>
          <w:szCs w:val="24"/>
        </w:rPr>
        <w:lastRenderedPageBreak/>
        <w:t>Flowerdew, J. (2019). The linguistic disadvantage of scholars who write in English as an additional language. Language Teaching, 52(2), 249-260.  </w:t>
      </w:r>
      <w:hyperlink r:id="rId9" w:history="1">
        <w:r w:rsidR="007D639B" w:rsidRPr="000515A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https://doi.org/10.1017/S0261444819000041</w:t>
        </w:r>
      </w:hyperlink>
    </w:p>
    <w:p w14:paraId="4F5C5BFC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FD06FC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Hyland, K. (1999). Talking to students: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Metadiscourse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 in introductory course books. 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for Specific Purposes, 18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(1), 3-26. DOI: </w:t>
      </w:r>
      <w:hyperlink r:id="rId10" w:history="1">
        <w:r w:rsidRPr="000515A4">
          <w:rPr>
            <w:rFonts w:ascii="Times New Roman" w:hAnsi="Times New Roman" w:cs="Times New Roman"/>
            <w:color w:val="000000"/>
            <w:sz w:val="24"/>
            <w:szCs w:val="24"/>
          </w:rPr>
          <w:t>10.1016/S0889-4906(97)00025-2</w:t>
        </w:r>
      </w:hyperlink>
    </w:p>
    <w:p w14:paraId="7B6ED258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1BB20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Hyland, K. (2004). 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Disciplinary discourses: Social interactions in academic writing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. University of Michigan Press.</w:t>
      </w:r>
    </w:p>
    <w:p w14:paraId="4178A813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4A2B4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5A4">
        <w:rPr>
          <w:rFonts w:ascii="Times New Roman" w:hAnsi="Times New Roman" w:cs="Times New Roman"/>
          <w:color w:val="000000"/>
          <w:sz w:val="24"/>
          <w:szCs w:val="24"/>
        </w:rPr>
        <w:t>Hyland, K. (2005).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Metadiscourse</w:t>
      </w:r>
      <w:proofErr w:type="spellEnd"/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Exploring interaction in writing. 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Continuum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1724072C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3929254" w14:textId="5E89940D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15A4">
        <w:rPr>
          <w:rFonts w:ascii="Times New Roman" w:hAnsi="Times New Roman" w:cs="Times New Roman"/>
          <w:color w:val="000000"/>
          <w:sz w:val="24"/>
          <w:szCs w:val="24"/>
        </w:rPr>
        <w:t>Hyland, K. (2007).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Applying a gloss: Exemplifying and reformulating in academic discourse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Applied Linguistics, 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28 (2), 266-285. DOI: 10.1093/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applin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>/amm011</w:t>
      </w:r>
    </w:p>
    <w:p w14:paraId="4FADF0E3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9049089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Hyland, K. (2010).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Metadiscourse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>: Mapping interactions in academic writing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Nordic J. English Study, 9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(2), 125-143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A39337A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F29A074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Hyland, K., &amp;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Tse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>, P. (2004).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Metadiscourse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 in academic writing: A reappraisal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Applied Linguistics, 25(2), 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156-177.</w:t>
      </w:r>
    </w:p>
    <w:p w14:paraId="5A0E6A38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AFD3CF6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Khalili, A., &amp;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Aslanabadi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, M. (2014). The use of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metadiscourse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 devices by non-native speakers in research articles. 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Applied Linguistics and Applied Literature: Dynamics and Advances, 2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(2), 21-34.</w:t>
      </w:r>
    </w:p>
    <w:p w14:paraId="0AFF80D1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187365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Lee, J. J., &amp;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Casal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, J. E. (2014).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Metadiscourse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 in results and discussion chapters: A cross-linguistic analysis of English and Spanish thesis writers in engineering. 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System, 46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(1), 39-54. DOI: </w:t>
      </w:r>
      <w:hyperlink r:id="rId11" w:history="1">
        <w:r w:rsidRPr="000515A4">
          <w:rPr>
            <w:rFonts w:ascii="Times New Roman" w:hAnsi="Times New Roman" w:cs="Times New Roman"/>
            <w:color w:val="000000"/>
            <w:sz w:val="24"/>
            <w:szCs w:val="24"/>
          </w:rPr>
          <w:t>10.1016/j.system.2014.07.009</w:t>
        </w:r>
      </w:hyperlink>
    </w:p>
    <w:p w14:paraId="45BD200F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FD536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Marandi, S. (2003).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Metadiscourse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 in Persian/English master’s theses: A contrastive study. 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Iranian Journal of Applied Linguistics, 6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(2), 23-42.</w:t>
      </w:r>
    </w:p>
    <w:p w14:paraId="6D0C78B6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36BA1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Martin-Martin, P. (2003). A genre analysis of English and Spanish research paper abstracts in experimental social sciences. 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for Specific Purposes, 22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(1), 25–43.</w:t>
      </w:r>
    </w:p>
    <w:p w14:paraId="4BE5DF8A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4F8CD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Mirshamsi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, A., &amp;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Allami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, H. (2013).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Metadiscourse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 markers in the discussion/conclusion section of Persian and English master's theses. 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Journal of Teaching Language Skills, 5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(3), 23-40.</w:t>
      </w:r>
    </w:p>
    <w:p w14:paraId="1F105E0E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986F1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Ren, H., &amp; Li, Y. (2011). A comparison study on the rhetorical moves of abstracts in published research articles and master’s foreign-language theses. 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Language Teaching, 4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>(1), 162-166.</w:t>
      </w:r>
    </w:p>
    <w:p w14:paraId="3CB133FE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ACDC8" w14:textId="77777777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Saeeaw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, S., &amp;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Tangkiengsirisin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>, S. (2014). Rhetorical variation across research article abstracts in environmental science and applied linguistics. 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Language Teaching, 7,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 81-93.</w:t>
      </w:r>
    </w:p>
    <w:p w14:paraId="13E8C221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DEF33" w14:textId="75247D53" w:rsidR="00E92609" w:rsidRPr="000515A4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Santos, M. B. D. (2019). The textual organization of research paper abstracts in applied linguistics. </w:t>
      </w:r>
      <w:r w:rsidRPr="00051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Text, 16</w:t>
      </w: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, 481-499. </w:t>
      </w:r>
      <w:hyperlink r:id="rId12" w:history="1">
        <w:r w:rsidRPr="000515A4">
          <w:rPr>
            <w:rFonts w:ascii="Times New Roman" w:hAnsi="Times New Roman" w:cs="Times New Roman"/>
            <w:color w:val="000000"/>
            <w:sz w:val="24"/>
            <w:szCs w:val="24"/>
          </w:rPr>
          <w:t>http://dx.doi.org/10.1515/text.1.1996.16.4.481</w:t>
        </w:r>
      </w:hyperlink>
    </w:p>
    <w:p w14:paraId="48C30A17" w14:textId="77777777" w:rsidR="007D639B" w:rsidRPr="000515A4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AE47C7" w14:textId="77777777" w:rsidR="00E92609" w:rsidRPr="000D0F5B" w:rsidRDefault="00E92609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Swales, J. M., &amp; Feak C. B. (2009). Abstracts and the writing of abstracts. </w:t>
      </w:r>
      <w:r w:rsidRPr="000D0F5B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Michigan ELT,</w:t>
      </w:r>
      <w:r w:rsidRPr="000D0F5B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hyperlink r:id="rId13" w:history="1">
        <w:r w:rsidRPr="000D0F5B">
          <w:rPr>
            <w:rFonts w:ascii="Times New Roman" w:hAnsi="Times New Roman" w:cs="Times New Roman"/>
            <w:color w:val="000000"/>
            <w:sz w:val="24"/>
            <w:szCs w:val="24"/>
            <w:lang w:val="sv-SE"/>
          </w:rPr>
          <w:t>http://www.press.umich.edu/titleDetailDesc.do?id=309332</w:t>
        </w:r>
      </w:hyperlink>
      <w:r w:rsidRPr="000D0F5B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14:paraId="6E48E2CD" w14:textId="77777777" w:rsidR="007D639B" w:rsidRPr="000D0F5B" w:rsidRDefault="007D639B" w:rsidP="000515A4">
      <w:pPr>
        <w:spacing w:after="0" w:line="240" w:lineRule="auto"/>
        <w:ind w:left="1008" w:right="288" w:hanging="72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5704655F" w14:textId="77777777" w:rsidR="00E92609" w:rsidRPr="000515A4" w:rsidRDefault="00E92609" w:rsidP="000515A4">
      <w:pPr>
        <w:spacing w:line="240" w:lineRule="auto"/>
        <w:ind w:left="1008" w:right="288" w:hanging="720"/>
        <w:rPr>
          <w:rFonts w:ascii="Times New Roman" w:hAnsi="Times New Roman" w:cs="Times New Roman"/>
          <w:sz w:val="24"/>
          <w:szCs w:val="24"/>
        </w:rPr>
      </w:pPr>
      <w:r w:rsidRPr="000D0F5B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Zakaria, M. K., &amp; Malik, F. A. (2018). 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Metadiscourse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 xml:space="preserve"> in academic writing of pre-university Arab students at the International Islamic University Malaysia (IIUM). MATEC Web of Conferences 150 05086 (2018) DOI: 10.1051/</w:t>
      </w:r>
      <w:proofErr w:type="spellStart"/>
      <w:r w:rsidRPr="000515A4">
        <w:rPr>
          <w:rFonts w:ascii="Times New Roman" w:hAnsi="Times New Roman" w:cs="Times New Roman"/>
          <w:color w:val="000000"/>
          <w:sz w:val="24"/>
          <w:szCs w:val="24"/>
        </w:rPr>
        <w:t>matecconf</w:t>
      </w:r>
      <w:proofErr w:type="spellEnd"/>
      <w:r w:rsidRPr="000515A4">
        <w:rPr>
          <w:rFonts w:ascii="Times New Roman" w:hAnsi="Times New Roman" w:cs="Times New Roman"/>
          <w:color w:val="000000"/>
          <w:sz w:val="24"/>
          <w:szCs w:val="24"/>
        </w:rPr>
        <w:t>/201815005086</w:t>
      </w:r>
    </w:p>
    <w:p w14:paraId="5EB1E3AC" w14:textId="77777777" w:rsidR="0007011A" w:rsidRPr="000515A4" w:rsidRDefault="0007011A" w:rsidP="000515A4">
      <w:pPr>
        <w:spacing w:line="240" w:lineRule="auto"/>
        <w:ind w:left="1008" w:right="288" w:hanging="720"/>
        <w:rPr>
          <w:rFonts w:ascii="Times New Roman" w:hAnsi="Times New Roman" w:cs="Times New Roman"/>
          <w:sz w:val="24"/>
          <w:szCs w:val="24"/>
        </w:rPr>
      </w:pPr>
    </w:p>
    <w:sectPr w:rsidR="0007011A" w:rsidRPr="000515A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4BAA" w14:textId="77777777" w:rsidR="00D64ADA" w:rsidRDefault="00D64ADA">
      <w:pPr>
        <w:spacing w:after="0" w:line="240" w:lineRule="auto"/>
      </w:pPr>
      <w:r>
        <w:separator/>
      </w:r>
    </w:p>
  </w:endnote>
  <w:endnote w:type="continuationSeparator" w:id="0">
    <w:p w14:paraId="2E15370A" w14:textId="77777777" w:rsidR="00D64ADA" w:rsidRDefault="00D6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62E1" w14:textId="7EF946A1" w:rsidR="000D0F5B" w:rsidRDefault="000D0F5B" w:rsidP="000D0F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F9FA" w14:textId="77777777" w:rsidR="00D64ADA" w:rsidRDefault="00D64ADA">
      <w:pPr>
        <w:spacing w:after="0" w:line="240" w:lineRule="auto"/>
      </w:pPr>
      <w:r>
        <w:separator/>
      </w:r>
    </w:p>
  </w:footnote>
  <w:footnote w:type="continuationSeparator" w:id="0">
    <w:p w14:paraId="07536E92" w14:textId="77777777" w:rsidR="00D64ADA" w:rsidRDefault="00D6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2BFA" w14:textId="0CB33B15" w:rsidR="00176AF4" w:rsidRPr="000D0F5B" w:rsidRDefault="000D0F5B" w:rsidP="000D0F5B">
    <w:pPr>
      <w:pStyle w:val="Header"/>
    </w:pPr>
    <w:r w:rsidRPr="000D0F5B">
      <w:rPr>
        <w:rFonts w:ascii="Times New Roman" w:eastAsia="Times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2EE4FBF" wp14:editId="7B18578A">
          <wp:simplePos x="0" y="0"/>
          <wp:positionH relativeFrom="column">
            <wp:posOffset>-723900</wp:posOffset>
          </wp:positionH>
          <wp:positionV relativeFrom="paragraph">
            <wp:posOffset>-362424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A56"/>
    <w:multiLevelType w:val="hybridMultilevel"/>
    <w:tmpl w:val="86A01930"/>
    <w:lvl w:ilvl="0" w:tplc="12466B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B9C7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45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42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EE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0A02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CC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2B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288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3CC"/>
    <w:multiLevelType w:val="hybridMultilevel"/>
    <w:tmpl w:val="CD32B5C0"/>
    <w:lvl w:ilvl="0" w:tplc="78AE1EAA">
      <w:start w:val="1"/>
      <w:numFmt w:val="decimal"/>
      <w:lvlText w:val="%1."/>
      <w:lvlJc w:val="left"/>
      <w:pPr>
        <w:ind w:left="720" w:hanging="360"/>
      </w:pPr>
    </w:lvl>
    <w:lvl w:ilvl="1" w:tplc="A3C69098" w:tentative="1">
      <w:start w:val="1"/>
      <w:numFmt w:val="lowerLetter"/>
      <w:lvlText w:val="%2."/>
      <w:lvlJc w:val="left"/>
      <w:pPr>
        <w:ind w:left="1440" w:hanging="360"/>
      </w:pPr>
    </w:lvl>
    <w:lvl w:ilvl="2" w:tplc="9DE87022" w:tentative="1">
      <w:start w:val="1"/>
      <w:numFmt w:val="lowerRoman"/>
      <w:lvlText w:val="%3."/>
      <w:lvlJc w:val="right"/>
      <w:pPr>
        <w:ind w:left="2160" w:hanging="180"/>
      </w:pPr>
    </w:lvl>
    <w:lvl w:ilvl="3" w:tplc="69D4871C" w:tentative="1">
      <w:start w:val="1"/>
      <w:numFmt w:val="decimal"/>
      <w:lvlText w:val="%4."/>
      <w:lvlJc w:val="left"/>
      <w:pPr>
        <w:ind w:left="2880" w:hanging="360"/>
      </w:pPr>
    </w:lvl>
    <w:lvl w:ilvl="4" w:tplc="B3D0BE2C" w:tentative="1">
      <w:start w:val="1"/>
      <w:numFmt w:val="lowerLetter"/>
      <w:lvlText w:val="%5."/>
      <w:lvlJc w:val="left"/>
      <w:pPr>
        <w:ind w:left="3600" w:hanging="360"/>
      </w:pPr>
    </w:lvl>
    <w:lvl w:ilvl="5" w:tplc="502075BE" w:tentative="1">
      <w:start w:val="1"/>
      <w:numFmt w:val="lowerRoman"/>
      <w:lvlText w:val="%6."/>
      <w:lvlJc w:val="right"/>
      <w:pPr>
        <w:ind w:left="4320" w:hanging="180"/>
      </w:pPr>
    </w:lvl>
    <w:lvl w:ilvl="6" w:tplc="721E7A00" w:tentative="1">
      <w:start w:val="1"/>
      <w:numFmt w:val="decimal"/>
      <w:lvlText w:val="%7."/>
      <w:lvlJc w:val="left"/>
      <w:pPr>
        <w:ind w:left="5040" w:hanging="360"/>
      </w:pPr>
    </w:lvl>
    <w:lvl w:ilvl="7" w:tplc="D19CFBE2" w:tentative="1">
      <w:start w:val="1"/>
      <w:numFmt w:val="lowerLetter"/>
      <w:lvlText w:val="%8."/>
      <w:lvlJc w:val="left"/>
      <w:pPr>
        <w:ind w:left="5760" w:hanging="360"/>
      </w:pPr>
    </w:lvl>
    <w:lvl w:ilvl="8" w:tplc="C178A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44FF"/>
    <w:multiLevelType w:val="hybridMultilevel"/>
    <w:tmpl w:val="F03837C8"/>
    <w:lvl w:ilvl="0" w:tplc="85409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B4F254" w:tentative="1">
      <w:start w:val="1"/>
      <w:numFmt w:val="lowerLetter"/>
      <w:lvlText w:val="%2."/>
      <w:lvlJc w:val="left"/>
      <w:pPr>
        <w:ind w:left="1440" w:hanging="360"/>
      </w:pPr>
    </w:lvl>
    <w:lvl w:ilvl="2" w:tplc="4942F8A0" w:tentative="1">
      <w:start w:val="1"/>
      <w:numFmt w:val="lowerRoman"/>
      <w:lvlText w:val="%3."/>
      <w:lvlJc w:val="right"/>
      <w:pPr>
        <w:ind w:left="2160" w:hanging="180"/>
      </w:pPr>
    </w:lvl>
    <w:lvl w:ilvl="3" w:tplc="DB40DE8A" w:tentative="1">
      <w:start w:val="1"/>
      <w:numFmt w:val="decimal"/>
      <w:lvlText w:val="%4."/>
      <w:lvlJc w:val="left"/>
      <w:pPr>
        <w:ind w:left="2880" w:hanging="360"/>
      </w:pPr>
    </w:lvl>
    <w:lvl w:ilvl="4" w:tplc="0166FE68" w:tentative="1">
      <w:start w:val="1"/>
      <w:numFmt w:val="lowerLetter"/>
      <w:lvlText w:val="%5."/>
      <w:lvlJc w:val="left"/>
      <w:pPr>
        <w:ind w:left="3600" w:hanging="360"/>
      </w:pPr>
    </w:lvl>
    <w:lvl w:ilvl="5" w:tplc="70B43CCE" w:tentative="1">
      <w:start w:val="1"/>
      <w:numFmt w:val="lowerRoman"/>
      <w:lvlText w:val="%6."/>
      <w:lvlJc w:val="right"/>
      <w:pPr>
        <w:ind w:left="4320" w:hanging="180"/>
      </w:pPr>
    </w:lvl>
    <w:lvl w:ilvl="6" w:tplc="F64ED1E6" w:tentative="1">
      <w:start w:val="1"/>
      <w:numFmt w:val="decimal"/>
      <w:lvlText w:val="%7."/>
      <w:lvlJc w:val="left"/>
      <w:pPr>
        <w:ind w:left="5040" w:hanging="360"/>
      </w:pPr>
    </w:lvl>
    <w:lvl w:ilvl="7" w:tplc="0A8A9956" w:tentative="1">
      <w:start w:val="1"/>
      <w:numFmt w:val="lowerLetter"/>
      <w:lvlText w:val="%8."/>
      <w:lvlJc w:val="left"/>
      <w:pPr>
        <w:ind w:left="5760" w:hanging="360"/>
      </w:pPr>
    </w:lvl>
    <w:lvl w:ilvl="8" w:tplc="1DE67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2B7D"/>
    <w:multiLevelType w:val="hybridMultilevel"/>
    <w:tmpl w:val="BCEAEABC"/>
    <w:lvl w:ilvl="0" w:tplc="EBD86F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88EEF34" w:tentative="1">
      <w:start w:val="1"/>
      <w:numFmt w:val="lowerLetter"/>
      <w:lvlText w:val="%2."/>
      <w:lvlJc w:val="left"/>
      <w:pPr>
        <w:ind w:left="1500" w:hanging="360"/>
      </w:pPr>
    </w:lvl>
    <w:lvl w:ilvl="2" w:tplc="64E2D0B8" w:tentative="1">
      <w:start w:val="1"/>
      <w:numFmt w:val="lowerRoman"/>
      <w:lvlText w:val="%3."/>
      <w:lvlJc w:val="right"/>
      <w:pPr>
        <w:ind w:left="2220" w:hanging="180"/>
      </w:pPr>
    </w:lvl>
    <w:lvl w:ilvl="3" w:tplc="DB921DBE" w:tentative="1">
      <w:start w:val="1"/>
      <w:numFmt w:val="decimal"/>
      <w:lvlText w:val="%4."/>
      <w:lvlJc w:val="left"/>
      <w:pPr>
        <w:ind w:left="2940" w:hanging="360"/>
      </w:pPr>
    </w:lvl>
    <w:lvl w:ilvl="4" w:tplc="4410A2F0" w:tentative="1">
      <w:start w:val="1"/>
      <w:numFmt w:val="lowerLetter"/>
      <w:lvlText w:val="%5."/>
      <w:lvlJc w:val="left"/>
      <w:pPr>
        <w:ind w:left="3660" w:hanging="360"/>
      </w:pPr>
    </w:lvl>
    <w:lvl w:ilvl="5" w:tplc="4E325640" w:tentative="1">
      <w:start w:val="1"/>
      <w:numFmt w:val="lowerRoman"/>
      <w:lvlText w:val="%6."/>
      <w:lvlJc w:val="right"/>
      <w:pPr>
        <w:ind w:left="4380" w:hanging="180"/>
      </w:pPr>
    </w:lvl>
    <w:lvl w:ilvl="6" w:tplc="599AD486" w:tentative="1">
      <w:start w:val="1"/>
      <w:numFmt w:val="decimal"/>
      <w:lvlText w:val="%7."/>
      <w:lvlJc w:val="left"/>
      <w:pPr>
        <w:ind w:left="5100" w:hanging="360"/>
      </w:pPr>
    </w:lvl>
    <w:lvl w:ilvl="7" w:tplc="8F460E06" w:tentative="1">
      <w:start w:val="1"/>
      <w:numFmt w:val="lowerLetter"/>
      <w:lvlText w:val="%8."/>
      <w:lvlJc w:val="left"/>
      <w:pPr>
        <w:ind w:left="5820" w:hanging="360"/>
      </w:pPr>
    </w:lvl>
    <w:lvl w:ilvl="8" w:tplc="7AA6BCC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720696F"/>
    <w:multiLevelType w:val="hybridMultilevel"/>
    <w:tmpl w:val="A0C65006"/>
    <w:lvl w:ilvl="0" w:tplc="E5D24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74472E" w:tentative="1">
      <w:start w:val="1"/>
      <w:numFmt w:val="lowerLetter"/>
      <w:lvlText w:val="%2."/>
      <w:lvlJc w:val="left"/>
      <w:pPr>
        <w:ind w:left="1440" w:hanging="360"/>
      </w:pPr>
    </w:lvl>
    <w:lvl w:ilvl="2" w:tplc="19288F38" w:tentative="1">
      <w:start w:val="1"/>
      <w:numFmt w:val="lowerRoman"/>
      <w:lvlText w:val="%3."/>
      <w:lvlJc w:val="right"/>
      <w:pPr>
        <w:ind w:left="2160" w:hanging="180"/>
      </w:pPr>
    </w:lvl>
    <w:lvl w:ilvl="3" w:tplc="04D4B13C" w:tentative="1">
      <w:start w:val="1"/>
      <w:numFmt w:val="decimal"/>
      <w:lvlText w:val="%4."/>
      <w:lvlJc w:val="left"/>
      <w:pPr>
        <w:ind w:left="2880" w:hanging="360"/>
      </w:pPr>
    </w:lvl>
    <w:lvl w:ilvl="4" w:tplc="02A0218E" w:tentative="1">
      <w:start w:val="1"/>
      <w:numFmt w:val="lowerLetter"/>
      <w:lvlText w:val="%5."/>
      <w:lvlJc w:val="left"/>
      <w:pPr>
        <w:ind w:left="3600" w:hanging="360"/>
      </w:pPr>
    </w:lvl>
    <w:lvl w:ilvl="5" w:tplc="A554EFD8" w:tentative="1">
      <w:start w:val="1"/>
      <w:numFmt w:val="lowerRoman"/>
      <w:lvlText w:val="%6."/>
      <w:lvlJc w:val="right"/>
      <w:pPr>
        <w:ind w:left="4320" w:hanging="180"/>
      </w:pPr>
    </w:lvl>
    <w:lvl w:ilvl="6" w:tplc="C15A54A8" w:tentative="1">
      <w:start w:val="1"/>
      <w:numFmt w:val="decimal"/>
      <w:lvlText w:val="%7."/>
      <w:lvlJc w:val="left"/>
      <w:pPr>
        <w:ind w:left="5040" w:hanging="360"/>
      </w:pPr>
    </w:lvl>
    <w:lvl w:ilvl="7" w:tplc="292E1AB8" w:tentative="1">
      <w:start w:val="1"/>
      <w:numFmt w:val="lowerLetter"/>
      <w:lvlText w:val="%8."/>
      <w:lvlJc w:val="left"/>
      <w:pPr>
        <w:ind w:left="5760" w:hanging="360"/>
      </w:pPr>
    </w:lvl>
    <w:lvl w:ilvl="8" w:tplc="6688D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317F0"/>
    <w:multiLevelType w:val="hybridMultilevel"/>
    <w:tmpl w:val="A0C65006"/>
    <w:lvl w:ilvl="0" w:tplc="C9A8C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88872C" w:tentative="1">
      <w:start w:val="1"/>
      <w:numFmt w:val="lowerLetter"/>
      <w:lvlText w:val="%2."/>
      <w:lvlJc w:val="left"/>
      <w:pPr>
        <w:ind w:left="1440" w:hanging="360"/>
      </w:pPr>
    </w:lvl>
    <w:lvl w:ilvl="2" w:tplc="28A225E4" w:tentative="1">
      <w:start w:val="1"/>
      <w:numFmt w:val="lowerRoman"/>
      <w:lvlText w:val="%3."/>
      <w:lvlJc w:val="right"/>
      <w:pPr>
        <w:ind w:left="2160" w:hanging="180"/>
      </w:pPr>
    </w:lvl>
    <w:lvl w:ilvl="3" w:tplc="04C2F036" w:tentative="1">
      <w:start w:val="1"/>
      <w:numFmt w:val="decimal"/>
      <w:lvlText w:val="%4."/>
      <w:lvlJc w:val="left"/>
      <w:pPr>
        <w:ind w:left="2880" w:hanging="360"/>
      </w:pPr>
    </w:lvl>
    <w:lvl w:ilvl="4" w:tplc="0408EF4A" w:tentative="1">
      <w:start w:val="1"/>
      <w:numFmt w:val="lowerLetter"/>
      <w:lvlText w:val="%5."/>
      <w:lvlJc w:val="left"/>
      <w:pPr>
        <w:ind w:left="3600" w:hanging="360"/>
      </w:pPr>
    </w:lvl>
    <w:lvl w:ilvl="5" w:tplc="87F2F3E0" w:tentative="1">
      <w:start w:val="1"/>
      <w:numFmt w:val="lowerRoman"/>
      <w:lvlText w:val="%6."/>
      <w:lvlJc w:val="right"/>
      <w:pPr>
        <w:ind w:left="4320" w:hanging="180"/>
      </w:pPr>
    </w:lvl>
    <w:lvl w:ilvl="6" w:tplc="5C4C64BC" w:tentative="1">
      <w:start w:val="1"/>
      <w:numFmt w:val="decimal"/>
      <w:lvlText w:val="%7."/>
      <w:lvlJc w:val="left"/>
      <w:pPr>
        <w:ind w:left="5040" w:hanging="360"/>
      </w:pPr>
    </w:lvl>
    <w:lvl w:ilvl="7" w:tplc="ECEEF154" w:tentative="1">
      <w:start w:val="1"/>
      <w:numFmt w:val="lowerLetter"/>
      <w:lvlText w:val="%8."/>
      <w:lvlJc w:val="left"/>
      <w:pPr>
        <w:ind w:left="5760" w:hanging="360"/>
      </w:pPr>
    </w:lvl>
    <w:lvl w:ilvl="8" w:tplc="EA1E0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04C1F"/>
    <w:multiLevelType w:val="hybridMultilevel"/>
    <w:tmpl w:val="D50CD072"/>
    <w:lvl w:ilvl="0" w:tplc="7FBCC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E678C6" w:tentative="1">
      <w:start w:val="1"/>
      <w:numFmt w:val="lowerLetter"/>
      <w:lvlText w:val="%2."/>
      <w:lvlJc w:val="left"/>
      <w:pPr>
        <w:ind w:left="1440" w:hanging="360"/>
      </w:pPr>
    </w:lvl>
    <w:lvl w:ilvl="2" w:tplc="D8549490" w:tentative="1">
      <w:start w:val="1"/>
      <w:numFmt w:val="lowerRoman"/>
      <w:lvlText w:val="%3."/>
      <w:lvlJc w:val="right"/>
      <w:pPr>
        <w:ind w:left="2160" w:hanging="180"/>
      </w:pPr>
    </w:lvl>
    <w:lvl w:ilvl="3" w:tplc="05644C74" w:tentative="1">
      <w:start w:val="1"/>
      <w:numFmt w:val="decimal"/>
      <w:lvlText w:val="%4."/>
      <w:lvlJc w:val="left"/>
      <w:pPr>
        <w:ind w:left="2880" w:hanging="360"/>
      </w:pPr>
    </w:lvl>
    <w:lvl w:ilvl="4" w:tplc="70A6132E" w:tentative="1">
      <w:start w:val="1"/>
      <w:numFmt w:val="lowerLetter"/>
      <w:lvlText w:val="%5."/>
      <w:lvlJc w:val="left"/>
      <w:pPr>
        <w:ind w:left="3600" w:hanging="360"/>
      </w:pPr>
    </w:lvl>
    <w:lvl w:ilvl="5" w:tplc="1B1EB8BE" w:tentative="1">
      <w:start w:val="1"/>
      <w:numFmt w:val="lowerRoman"/>
      <w:lvlText w:val="%6."/>
      <w:lvlJc w:val="right"/>
      <w:pPr>
        <w:ind w:left="4320" w:hanging="180"/>
      </w:pPr>
    </w:lvl>
    <w:lvl w:ilvl="6" w:tplc="FE3852B4" w:tentative="1">
      <w:start w:val="1"/>
      <w:numFmt w:val="decimal"/>
      <w:lvlText w:val="%7."/>
      <w:lvlJc w:val="left"/>
      <w:pPr>
        <w:ind w:left="5040" w:hanging="360"/>
      </w:pPr>
    </w:lvl>
    <w:lvl w:ilvl="7" w:tplc="13F4EDE6" w:tentative="1">
      <w:start w:val="1"/>
      <w:numFmt w:val="lowerLetter"/>
      <w:lvlText w:val="%8."/>
      <w:lvlJc w:val="left"/>
      <w:pPr>
        <w:ind w:left="5760" w:hanging="360"/>
      </w:pPr>
    </w:lvl>
    <w:lvl w:ilvl="8" w:tplc="24842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514C1"/>
    <w:multiLevelType w:val="hybridMultilevel"/>
    <w:tmpl w:val="CFAE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088D"/>
    <w:multiLevelType w:val="hybridMultilevel"/>
    <w:tmpl w:val="57BE9092"/>
    <w:lvl w:ilvl="0" w:tplc="55066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BC8C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E6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24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6C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BE6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C3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AD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24F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884053">
    <w:abstractNumId w:val="8"/>
  </w:num>
  <w:num w:numId="2" w16cid:durableId="1122455278">
    <w:abstractNumId w:val="6"/>
  </w:num>
  <w:num w:numId="3" w16cid:durableId="1877083036">
    <w:abstractNumId w:val="3"/>
  </w:num>
  <w:num w:numId="4" w16cid:durableId="173812713">
    <w:abstractNumId w:val="4"/>
  </w:num>
  <w:num w:numId="5" w16cid:durableId="831526970">
    <w:abstractNumId w:val="2"/>
  </w:num>
  <w:num w:numId="6" w16cid:durableId="515467323">
    <w:abstractNumId w:val="0"/>
  </w:num>
  <w:num w:numId="7" w16cid:durableId="53046911">
    <w:abstractNumId w:val="1"/>
  </w:num>
  <w:num w:numId="8" w16cid:durableId="1226186164">
    <w:abstractNumId w:val="5"/>
  </w:num>
  <w:num w:numId="9" w16cid:durableId="1216433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E8"/>
    <w:rsid w:val="000515A4"/>
    <w:rsid w:val="0007011A"/>
    <w:rsid w:val="000D0F5B"/>
    <w:rsid w:val="00312880"/>
    <w:rsid w:val="005566FB"/>
    <w:rsid w:val="0063390D"/>
    <w:rsid w:val="007D639B"/>
    <w:rsid w:val="008725C8"/>
    <w:rsid w:val="009F7688"/>
    <w:rsid w:val="00AB5B57"/>
    <w:rsid w:val="00C159E8"/>
    <w:rsid w:val="00D64ADA"/>
    <w:rsid w:val="00E92609"/>
    <w:rsid w:val="00F84FCE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A76E"/>
  <w15:chartTrackingRefBased/>
  <w15:docId w15:val="{240AB738-6328-4D47-8A03-E6DA53CD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609"/>
  </w:style>
  <w:style w:type="paragraph" w:styleId="Heading2">
    <w:name w:val="heading 2"/>
    <w:basedOn w:val="Normal"/>
    <w:link w:val="Heading2Char"/>
    <w:uiPriority w:val="9"/>
    <w:qFormat/>
    <w:rsid w:val="00E92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60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92609"/>
    <w:rPr>
      <w:i/>
      <w:iCs/>
    </w:rPr>
  </w:style>
  <w:style w:type="character" w:styleId="Hyperlink">
    <w:name w:val="Hyperlink"/>
    <w:basedOn w:val="DefaultParagraphFont"/>
    <w:uiPriority w:val="99"/>
    <w:unhideWhenUsed/>
    <w:rsid w:val="00E92609"/>
    <w:rPr>
      <w:color w:val="0000FF"/>
      <w:u w:val="single"/>
    </w:rPr>
  </w:style>
  <w:style w:type="table" w:styleId="TableGrid">
    <w:name w:val="Table Grid"/>
    <w:basedOn w:val="TableNormal"/>
    <w:uiPriority w:val="39"/>
    <w:rsid w:val="00E9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609"/>
    <w:pPr>
      <w:ind w:left="720"/>
      <w:contextualSpacing/>
    </w:pPr>
  </w:style>
  <w:style w:type="character" w:customStyle="1" w:styleId="author">
    <w:name w:val="author"/>
    <w:basedOn w:val="DefaultParagraphFont"/>
    <w:rsid w:val="00E92609"/>
  </w:style>
  <w:style w:type="paragraph" w:customStyle="1" w:styleId="TableParagraph">
    <w:name w:val="Table Paragraph"/>
    <w:basedOn w:val="Normal"/>
    <w:uiPriority w:val="1"/>
    <w:qFormat/>
    <w:rsid w:val="00E92609"/>
    <w:pPr>
      <w:widowControl w:val="0"/>
      <w:autoSpaceDE w:val="0"/>
      <w:autoSpaceDN w:val="0"/>
      <w:spacing w:after="0" w:line="186" w:lineRule="exact"/>
      <w:ind w:left="108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92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2609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21">
    <w:name w:val="style121"/>
    <w:rsid w:val="00E92609"/>
    <w:rPr>
      <w:b/>
      <w:b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9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260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09"/>
  </w:style>
  <w:style w:type="paragraph" w:styleId="Footer">
    <w:name w:val="footer"/>
    <w:basedOn w:val="Normal"/>
    <w:link w:val="FooterChar"/>
    <w:uiPriority w:val="99"/>
    <w:unhideWhenUsed/>
    <w:rsid w:val="00E9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26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D6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ue.umc.edu.dz/index.php/h/article/view/3060" TargetMode="External"/><Relationship Id="rId13" Type="http://schemas.openxmlformats.org/officeDocument/2006/relationships/hyperlink" Target="http://www.press.umich.edu/titleDetailDesc.do?id=309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x.doi.org/10.24093/awej/vol11no3.12" TargetMode="External"/><Relationship Id="rId12" Type="http://schemas.openxmlformats.org/officeDocument/2006/relationships/hyperlink" Target="http://dx.doi.org/10.1515/text.1.1996.16.4.4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deref/http%3A%2F%2Fdx.doi.org%2F10.1016%2Fj.system.2014.07.009?_sg%5B0%5D=gTMWUV2ujYYZa40NPDhtaAOZpKM1prWbX_H4RJhrL-PfWvdQ0M0c6v69R5XcGpMIAKCXA7aD1GLJUYeDvF-G9p_D4w.ri2UMAU31s0ZaaF2SiP4VbB7rh0n-ka6ZUYSnFPRyRyCuLc77OYdFqevs1S59Vy1BMVlUgTZ3-olsjV_cS2d4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esearchgate.net/deref/http%3A%2F%2Fdx.doi.org%2F10.1016%2FS0889-4906(97)00025-2?_sg%5B0%5D=a7JPaalWJ-SMTjLJKvnSVzxq6tV0WgTSS43UGoBbEc2XEIEhG3sE7pKOFipvRgiZAMa2DW3C1fS9BZh2qLJH2Tudyw.JMg9ou4bSZjzIhzk5Dt55c-aGl7Wtbtrxj77n5ySiP4JF2Br0E59LJmW4eCAlWh5xoQ7ZbWP45RSsuI2x1Dt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7/S026144481900004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Damerow, Ryan</cp:lastModifiedBy>
  <cp:revision>3</cp:revision>
  <dcterms:created xsi:type="dcterms:W3CDTF">2023-05-07T15:41:00Z</dcterms:created>
  <dcterms:modified xsi:type="dcterms:W3CDTF">2023-05-23T21:00:00Z</dcterms:modified>
</cp:coreProperties>
</file>