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3950" w14:textId="39EB4AA2" w:rsidR="001103FB" w:rsidRPr="00825E25" w:rsidRDefault="000B2953" w:rsidP="0049120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5E25">
        <w:rPr>
          <w:rFonts w:ascii="Times New Roman" w:hAnsi="Times New Roman" w:cs="Times New Roman"/>
          <w:b/>
          <w:bCs/>
          <w:sz w:val="24"/>
          <w:szCs w:val="24"/>
          <w:u w:val="single"/>
        </w:rPr>
        <w:t>BILITERACY: SELECTED REFERENCES</w:t>
      </w:r>
    </w:p>
    <w:p w14:paraId="645AE2FF" w14:textId="58386354" w:rsidR="000B2953" w:rsidRDefault="000B2953" w:rsidP="0049120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E25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087E6E" w:rsidRPr="00825E25">
        <w:rPr>
          <w:rFonts w:ascii="Times New Roman" w:hAnsi="Times New Roman" w:cs="Times New Roman"/>
          <w:b/>
          <w:bCs/>
          <w:sz w:val="24"/>
          <w:szCs w:val="24"/>
        </w:rPr>
        <w:t xml:space="preserve">18 February </w:t>
      </w:r>
      <w:r w:rsidRPr="00825E2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87E6E" w:rsidRPr="00825E2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5E2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5D6909" w14:textId="77777777" w:rsidR="00825E25" w:rsidRPr="00825E25" w:rsidRDefault="00825E25" w:rsidP="00825E25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2DA26" w14:textId="77777777" w:rsidR="00A84D6B" w:rsidRPr="00825E25" w:rsidRDefault="00A84D6B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9832710"/>
      <w:r w:rsidRPr="00825E25">
        <w:rPr>
          <w:rFonts w:ascii="Times New Roman" w:eastAsia="Times New Roman" w:hAnsi="Times New Roman" w:cs="Times New Roman"/>
          <w:sz w:val="24"/>
          <w:szCs w:val="24"/>
        </w:rPr>
        <w:t xml:space="preserve">Aguilar, G., Uccelli, P., &amp; Galloway, E. P. (2020). Toward biliteracy: Unpacking the contribution of mid‐adolescent dual language learners’ Spanish and English academic language skills to English reading comprehension. </w:t>
      </w:r>
      <w:r w:rsidRPr="00825E25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825E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825E25">
        <w:rPr>
          <w:rFonts w:ascii="Times New Roman" w:eastAsia="Times New Roman" w:hAnsi="Times New Roman" w:cs="Times New Roman"/>
          <w:sz w:val="24"/>
          <w:szCs w:val="24"/>
        </w:rPr>
        <w:t>(4), 1010-1036.</w:t>
      </w:r>
    </w:p>
    <w:p w14:paraId="5B71D770" w14:textId="77777777" w:rsidR="00A84D6B" w:rsidRPr="00825E25" w:rsidRDefault="00A84D6B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45A3A6" w14:textId="3F7DE2C8" w:rsidR="00547D9C" w:rsidRPr="00825E25" w:rsidRDefault="00547D9C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Bauer, E. B., &amp; Gort, M. (Eds.). (2012).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Early biliteracy development: Exploring young learners' use of their linguistic resources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Routledge.</w:t>
      </w:r>
    </w:p>
    <w:bookmarkEnd w:id="0"/>
    <w:p w14:paraId="4244C2AF" w14:textId="77777777" w:rsidR="00547D9C" w:rsidRPr="00825E25" w:rsidRDefault="00547D9C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B8DCF1" w14:textId="1A28C5C4" w:rsidR="00E47EA2" w:rsidRPr="00825E25" w:rsidRDefault="00E47EA2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Bauer, E. B., Mkhize, D., Bauer, E., &amp; Gort, M. (2012). Supporting the early development of biliteracy. In E. B. Bauer &amp; M. Gort (Eds.),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Early biliteracy development: Exploring young learners’ use of their linguistic resources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(pp. 14-33). Routledge.</w:t>
      </w:r>
    </w:p>
    <w:p w14:paraId="2614C17C" w14:textId="77777777" w:rsidR="00E47EA2" w:rsidRPr="00825E25" w:rsidRDefault="00E47EA2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BD279A" w14:textId="78A3E2E7" w:rsidR="009A66A4" w:rsidRPr="00825E25" w:rsidRDefault="009A66A4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Beeman, K., &amp; </w:t>
      </w:r>
      <w:proofErr w:type="spellStart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Urow</w:t>
      </w:r>
      <w:proofErr w:type="spellEnd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C. (2013).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Teaching for biliteracy: Strengthening bridges between languages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(p. 192). Caslon Publishing.</w:t>
      </w:r>
    </w:p>
    <w:p w14:paraId="3E646F92" w14:textId="77777777" w:rsidR="009A66A4" w:rsidRPr="00825E25" w:rsidRDefault="009A66A4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0B5AE1" w14:textId="73E9FAFF" w:rsidR="00EA2567" w:rsidRPr="00825E25" w:rsidRDefault="00EA2567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Bialystok, E. (1997). Effects of bilingualism and biliteracy on children's emerging concepts of print.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Developmental Psychology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33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(3), 429-440.</w:t>
      </w:r>
    </w:p>
    <w:p w14:paraId="161690B3" w14:textId="77777777" w:rsidR="00EA2567" w:rsidRPr="00825E25" w:rsidRDefault="00EA2567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BF4943" w14:textId="77777777" w:rsidR="009A66A4" w:rsidRPr="00825E25" w:rsidRDefault="009A66A4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Buckwalter, J. K., &amp; Lo, Y. H. G. (2002). Emergent biliteracy in Chinese and English.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Second Language Writing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11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269-293.</w:t>
      </w:r>
    </w:p>
    <w:p w14:paraId="4AF5BE43" w14:textId="77777777" w:rsidR="00547D9C" w:rsidRPr="00825E25" w:rsidRDefault="00547D9C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DF8C59" w14:textId="77777777" w:rsidR="00547D9C" w:rsidRPr="00825E25" w:rsidRDefault="00547D9C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Cummins, J. (1983). Language proficiency, biliteracy and French immersion.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Canadian Journal of Education/Revue </w:t>
      </w:r>
      <w:proofErr w:type="spellStart"/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canadienne</w:t>
      </w:r>
      <w:proofErr w:type="spellEnd"/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l'éducation</w:t>
      </w:r>
      <w:proofErr w:type="spellEnd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117-138.</w:t>
      </w:r>
    </w:p>
    <w:p w14:paraId="05201015" w14:textId="77777777" w:rsidR="009A66A4" w:rsidRPr="00825E25" w:rsidRDefault="009A66A4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D9F466" w14:textId="77777777" w:rsidR="00A63C49" w:rsidRPr="00825E25" w:rsidRDefault="00A63C49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25E25">
        <w:rPr>
          <w:rFonts w:ascii="Times New Roman" w:eastAsia="Times New Roman" w:hAnsi="Times New Roman" w:cs="Times New Roman"/>
          <w:sz w:val="24"/>
          <w:szCs w:val="24"/>
        </w:rPr>
        <w:t xml:space="preserve">Davin, K. J., Heineke, A. J., &amp; Hancock, C. R. (2022). The Seal of Biliteracy: A 10‐year retrospective. </w:t>
      </w:r>
      <w:r w:rsidRPr="00825E25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825E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825E25">
        <w:rPr>
          <w:rFonts w:ascii="Times New Roman" w:eastAsia="Times New Roman" w:hAnsi="Times New Roman" w:cs="Times New Roman"/>
          <w:sz w:val="24"/>
          <w:szCs w:val="24"/>
        </w:rPr>
        <w:t>(1), 10-34.</w:t>
      </w:r>
    </w:p>
    <w:p w14:paraId="5681AEEA" w14:textId="77777777" w:rsidR="00A63C49" w:rsidRPr="00825E25" w:rsidRDefault="00A63C49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22E264" w14:textId="77777777" w:rsidR="00647A9B" w:rsidRPr="00825E25" w:rsidRDefault="00647A9B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25E25">
        <w:rPr>
          <w:rFonts w:ascii="Times New Roman" w:eastAsia="Times New Roman" w:hAnsi="Times New Roman" w:cs="Times New Roman"/>
          <w:sz w:val="24"/>
          <w:szCs w:val="24"/>
        </w:rPr>
        <w:t xml:space="preserve">de Galbert, P. G., &amp; </w:t>
      </w:r>
      <w:proofErr w:type="spellStart"/>
      <w:r w:rsidRPr="00825E25">
        <w:rPr>
          <w:rFonts w:ascii="Times New Roman" w:eastAsia="Times New Roman" w:hAnsi="Times New Roman" w:cs="Times New Roman"/>
          <w:sz w:val="24"/>
          <w:szCs w:val="24"/>
        </w:rPr>
        <w:t>Woogen</w:t>
      </w:r>
      <w:proofErr w:type="spellEnd"/>
      <w:r w:rsidRPr="00825E25">
        <w:rPr>
          <w:rFonts w:ascii="Times New Roman" w:eastAsia="Times New Roman" w:hAnsi="Times New Roman" w:cs="Times New Roman"/>
          <w:sz w:val="24"/>
          <w:szCs w:val="24"/>
        </w:rPr>
        <w:t xml:space="preserve">, E. (2021). Barriers toward equity: Recognizing biliteracy of all students in Minnesota. </w:t>
      </w:r>
      <w:r w:rsidRPr="00825E25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825E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825E25">
        <w:rPr>
          <w:rFonts w:ascii="Times New Roman" w:eastAsia="Times New Roman" w:hAnsi="Times New Roman" w:cs="Times New Roman"/>
          <w:sz w:val="24"/>
          <w:szCs w:val="24"/>
        </w:rPr>
        <w:t>(3), 740-752.</w:t>
      </w:r>
    </w:p>
    <w:p w14:paraId="74471EE9" w14:textId="77777777" w:rsidR="002B6485" w:rsidRPr="00825E25" w:rsidRDefault="002B648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D0E268" w14:textId="77777777" w:rsidR="002B6485" w:rsidRPr="00825E25" w:rsidRDefault="002B648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 la Luz Reyes, M. (2012). Spontaneous biliteracy: Examining Latino students' untapped potential.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Theory into Practice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51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248-255.</w:t>
      </w:r>
    </w:p>
    <w:p w14:paraId="6D411F9A" w14:textId="77777777" w:rsidR="00595885" w:rsidRPr="00825E25" w:rsidRDefault="0059588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F2A45B" w14:textId="77777777" w:rsidR="0002311E" w:rsidRPr="0002311E" w:rsidRDefault="0002311E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31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Delbridge, A., &amp; Helman, L. A. (2016). Evidence-based strategies for fostering biliteracy in any classroom. </w:t>
      </w:r>
      <w:r w:rsidRPr="0002311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Early Childhood Education Journal</w:t>
      </w:r>
      <w:r w:rsidRPr="000231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02311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44</w:t>
      </w:r>
      <w:r w:rsidRPr="000231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307-316.</w:t>
      </w:r>
    </w:p>
    <w:p w14:paraId="3103DFD1" w14:textId="77777777" w:rsidR="0002311E" w:rsidRPr="00825E25" w:rsidRDefault="0002311E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60F354" w14:textId="1BB728AA" w:rsidR="00595885" w:rsidRPr="00825E25" w:rsidRDefault="0059588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Ducuara, J. J., &amp; Rozo, H. A. (2018). Biliteracy: A systematic literature review about strategies to teach and learn two languages.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Theory and Practice in Language Studies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8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(10), 1307-1318.</w:t>
      </w:r>
    </w:p>
    <w:p w14:paraId="4A2DD7F9" w14:textId="77777777" w:rsidR="00595885" w:rsidRPr="00825E25" w:rsidRDefault="0059588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0F0D71" w14:textId="77777777" w:rsidR="00595885" w:rsidRPr="00825E25" w:rsidRDefault="0059588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Dworin</w:t>
      </w:r>
      <w:proofErr w:type="spellEnd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J. E. (2003). Insights into biliteracy development: Toward a bidirectional theory of bilingual pedagogy.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Hispanic Higher Education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171-186.</w:t>
      </w:r>
    </w:p>
    <w:p w14:paraId="669EB8F4" w14:textId="77777777" w:rsidR="009674F0" w:rsidRPr="00825E25" w:rsidRDefault="009674F0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612214" w14:textId="4BFBC3CE" w:rsidR="009674F0" w:rsidRPr="00825E25" w:rsidRDefault="009674F0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Dworin</w:t>
      </w:r>
      <w:proofErr w:type="spellEnd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J. (2014). Examining children's biliteracy in the classroom. In A. I. Willis, G. E. Garcia, R. B. Barrera, &amp; </w:t>
      </w:r>
      <w:r w:rsidR="008F05C6"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V. J. Harris (Eds.),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Multicultural issues in literacy research and practice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(pp. 29-48). Routledge.</w:t>
      </w:r>
    </w:p>
    <w:p w14:paraId="72E0D781" w14:textId="77777777" w:rsidR="00595885" w:rsidRPr="00825E25" w:rsidRDefault="0059588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C6E14D" w14:textId="238FB168" w:rsidR="00595885" w:rsidRPr="00825E25" w:rsidRDefault="0059588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Escamilla, K. (2006). </w:t>
      </w:r>
      <w:proofErr w:type="spellStart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Semilingualism</w:t>
      </w:r>
      <w:proofErr w:type="spellEnd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applied to the literacy behaviors of Spanish-speaking emerging bilinguals: Bi-illiteracy or emerging </w:t>
      </w:r>
      <w:proofErr w:type="gramStart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biliteracy?.</w:t>
      </w:r>
      <w:proofErr w:type="gramEnd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Teachers College Record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108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(11), 2329-2353.</w:t>
      </w:r>
    </w:p>
    <w:p w14:paraId="1ACBBCFE" w14:textId="77777777" w:rsidR="00B00A11" w:rsidRPr="00825E25" w:rsidRDefault="00B00A11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639461" w14:textId="1084DA8C" w:rsidR="00B00A11" w:rsidRPr="00825E25" w:rsidRDefault="00B00A11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Escamilla, K., Hopewell, S., </w:t>
      </w:r>
      <w:proofErr w:type="spellStart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Butvilofsky</w:t>
      </w:r>
      <w:proofErr w:type="spellEnd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S., Sparrow, W., Soltero-González, L., Ruiz-Figueroa, O., &amp; Escamilla, M. (2014).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Biliteracy from the start: Literacy squared in action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Caslon Publishing.</w:t>
      </w:r>
    </w:p>
    <w:p w14:paraId="68109761" w14:textId="77777777" w:rsidR="00063AE6" w:rsidRPr="00825E25" w:rsidRDefault="00063AE6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B117D4" w14:textId="75C50F17" w:rsidR="00063AE6" w:rsidRPr="00825E25" w:rsidRDefault="00063AE6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9130542"/>
      <w:r w:rsidRPr="00825E25">
        <w:rPr>
          <w:rFonts w:ascii="Times New Roman" w:hAnsi="Times New Roman" w:cs="Times New Roman"/>
          <w:sz w:val="24"/>
          <w:szCs w:val="24"/>
        </w:rPr>
        <w:t xml:space="preserve">Frieson, B. L. (2022). </w:t>
      </w:r>
      <w:proofErr w:type="spellStart"/>
      <w:r w:rsidRPr="00825E25">
        <w:rPr>
          <w:rFonts w:ascii="Times New Roman" w:hAnsi="Times New Roman" w:cs="Times New Roman"/>
          <w:sz w:val="24"/>
          <w:szCs w:val="24"/>
        </w:rPr>
        <w:t>Remixin’and</w:t>
      </w:r>
      <w:proofErr w:type="spellEnd"/>
      <w:r w:rsidRPr="00825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E25">
        <w:rPr>
          <w:rFonts w:ascii="Times New Roman" w:hAnsi="Times New Roman" w:cs="Times New Roman"/>
          <w:sz w:val="24"/>
          <w:szCs w:val="24"/>
        </w:rPr>
        <w:t>flowin</w:t>
      </w:r>
      <w:proofErr w:type="spellEnd"/>
      <w:r w:rsidRPr="00825E25">
        <w:rPr>
          <w:rFonts w:ascii="Times New Roman" w:hAnsi="Times New Roman" w:cs="Times New Roman"/>
          <w:sz w:val="24"/>
          <w:szCs w:val="24"/>
        </w:rPr>
        <w:t>’</w:t>
      </w:r>
      <w:r w:rsidR="009A66A4" w:rsidRPr="00825E25">
        <w:rPr>
          <w:rFonts w:ascii="Times New Roman" w:hAnsi="Times New Roman" w:cs="Times New Roman"/>
          <w:sz w:val="24"/>
          <w:szCs w:val="24"/>
        </w:rPr>
        <w:t xml:space="preserve"> </w:t>
      </w:r>
      <w:r w:rsidRPr="00825E2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25E25">
        <w:rPr>
          <w:rFonts w:ascii="Times New Roman" w:hAnsi="Times New Roman" w:cs="Times New Roman"/>
          <w:sz w:val="24"/>
          <w:szCs w:val="24"/>
        </w:rPr>
        <w:t>centros</w:t>
      </w:r>
      <w:proofErr w:type="spellEnd"/>
      <w:r w:rsidRPr="00825E25">
        <w:rPr>
          <w:rFonts w:ascii="Times New Roman" w:hAnsi="Times New Roman" w:cs="Times New Roman"/>
          <w:sz w:val="24"/>
          <w:szCs w:val="24"/>
        </w:rPr>
        <w:t>: Exploring the biliteracy practices of Black language speakers in an elementary two-way immersion bilingual program. </w:t>
      </w:r>
      <w:r w:rsidRPr="00825E25">
        <w:rPr>
          <w:rFonts w:ascii="Times New Roman" w:hAnsi="Times New Roman" w:cs="Times New Roman"/>
          <w:i/>
          <w:iCs/>
          <w:sz w:val="24"/>
          <w:szCs w:val="24"/>
        </w:rPr>
        <w:t>Race Ethnicity and Education</w:t>
      </w:r>
      <w:r w:rsidRPr="00825E25">
        <w:rPr>
          <w:rFonts w:ascii="Times New Roman" w:hAnsi="Times New Roman" w:cs="Times New Roman"/>
          <w:sz w:val="24"/>
          <w:szCs w:val="24"/>
        </w:rPr>
        <w:t>, </w:t>
      </w:r>
      <w:r w:rsidRPr="00825E25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825E25">
        <w:rPr>
          <w:rFonts w:ascii="Times New Roman" w:hAnsi="Times New Roman" w:cs="Times New Roman"/>
          <w:sz w:val="24"/>
          <w:szCs w:val="24"/>
        </w:rPr>
        <w:t>(4), 585-605.</w:t>
      </w:r>
      <w:bookmarkEnd w:id="1"/>
    </w:p>
    <w:p w14:paraId="3B502EE1" w14:textId="77777777" w:rsidR="004F42E7" w:rsidRPr="00825E25" w:rsidRDefault="004F42E7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A8BE57" w14:textId="339AC628" w:rsidR="004F42E7" w:rsidRPr="00825E25" w:rsidRDefault="004F42E7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22850079"/>
      <w:r w:rsidRPr="00825E25">
        <w:rPr>
          <w:rFonts w:ascii="Times New Roman" w:eastAsia="Times New Roman" w:hAnsi="Times New Roman" w:cs="Times New Roman"/>
          <w:sz w:val="24"/>
          <w:szCs w:val="24"/>
        </w:rPr>
        <w:t xml:space="preserve">García, O., Bartlett, L., &amp; Kleifgen, J. (2007). From biliteracy to </w:t>
      </w:r>
      <w:proofErr w:type="spellStart"/>
      <w:r w:rsidRPr="00825E25">
        <w:rPr>
          <w:rFonts w:ascii="Times New Roman" w:eastAsia="Times New Roman" w:hAnsi="Times New Roman" w:cs="Times New Roman"/>
          <w:sz w:val="24"/>
          <w:szCs w:val="24"/>
        </w:rPr>
        <w:t>pluriliteracies</w:t>
      </w:r>
      <w:proofErr w:type="spellEnd"/>
      <w:r w:rsidRPr="00825E25">
        <w:rPr>
          <w:rFonts w:ascii="Times New Roman" w:eastAsia="Times New Roman" w:hAnsi="Times New Roman" w:cs="Times New Roman"/>
          <w:sz w:val="24"/>
          <w:szCs w:val="24"/>
        </w:rPr>
        <w:t xml:space="preserve">. In P. Auer &amp; L. Wei (Eds.), </w:t>
      </w:r>
      <w:r w:rsidRPr="00825E25">
        <w:rPr>
          <w:rFonts w:ascii="Times New Roman" w:eastAsia="Times New Roman" w:hAnsi="Times New Roman" w:cs="Times New Roman"/>
          <w:i/>
          <w:sz w:val="24"/>
          <w:szCs w:val="24"/>
        </w:rPr>
        <w:t>Handbook of applied linguistics. Vol.5: Multilingualism</w:t>
      </w:r>
      <w:r w:rsidRPr="00825E25">
        <w:rPr>
          <w:rFonts w:ascii="Times New Roman" w:eastAsia="Times New Roman" w:hAnsi="Times New Roman" w:cs="Times New Roman"/>
          <w:sz w:val="24"/>
          <w:szCs w:val="24"/>
        </w:rPr>
        <w:t xml:space="preserve"> (pp. 207-228). Mouton/de Gruyter.</w:t>
      </w:r>
      <w:bookmarkEnd w:id="2"/>
    </w:p>
    <w:p w14:paraId="5F6ED17D" w14:textId="17FE35E1" w:rsidR="00547D9C" w:rsidRPr="00825E25" w:rsidRDefault="00547D9C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9ABA66" w14:textId="0E65B5F5" w:rsidR="00547D9C" w:rsidRPr="00825E25" w:rsidRDefault="00547D9C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" w:name="_Hlk149832659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Gentil, G. (2005). Commitments to academic biliteracy: Case studies of francophone university writers.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Written Communication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22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421-471.</w:t>
      </w:r>
    </w:p>
    <w:bookmarkEnd w:id="3"/>
    <w:p w14:paraId="52FF82CB" w14:textId="77777777" w:rsidR="00547D9C" w:rsidRPr="00825E25" w:rsidRDefault="00547D9C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B8F612" w14:textId="77777777" w:rsidR="009A66A4" w:rsidRPr="00825E25" w:rsidRDefault="009A66A4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4" w:name="_Hlk149735506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Gentil, G. (2011). A biliteracy agenda for genre research.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Second Language Writing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20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6-23.</w:t>
      </w:r>
    </w:p>
    <w:p w14:paraId="1D773183" w14:textId="77777777" w:rsidR="00537796" w:rsidRPr="00825E25" w:rsidRDefault="00537796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7164B5" w14:textId="77777777" w:rsidR="00537796" w:rsidRPr="00537796" w:rsidRDefault="00537796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77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Gerena, L. (2010). Student attitudes toward biliteracy in a dual immersion program. </w:t>
      </w:r>
      <w:r w:rsidRPr="0053779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Reading</w:t>
      </w:r>
      <w:r w:rsidRPr="005377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53779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10</w:t>
      </w:r>
      <w:r w:rsidRPr="005377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55-78.</w:t>
      </w:r>
    </w:p>
    <w:p w14:paraId="49D3DA56" w14:textId="77777777" w:rsidR="00C47EE5" w:rsidRPr="00825E25" w:rsidRDefault="00C47EE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6DF133" w14:textId="397E96D6" w:rsidR="00C47EE5" w:rsidRPr="00C47EE5" w:rsidRDefault="00C47EE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47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Giambo</w:t>
      </w:r>
      <w:proofErr w:type="spellEnd"/>
      <w:r w:rsidRPr="00C47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D. A., &amp; </w:t>
      </w:r>
      <w:proofErr w:type="spellStart"/>
      <w:r w:rsidRPr="00C47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Szecsi</w:t>
      </w:r>
      <w:proofErr w:type="spellEnd"/>
      <w:r w:rsidRPr="00C47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T. (2015). Promoting and maintaining bilingualism and biliteracy: Cognitive and biliteracy benefits &amp; strategies for monolingual teachers. </w:t>
      </w:r>
      <w:r w:rsidRPr="00C47E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Open Communication Journal</w:t>
      </w:r>
      <w:r w:rsidRPr="00C47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C47E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9</w:t>
      </w:r>
      <w:r w:rsidRPr="00C47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56-60</w:t>
      </w:r>
      <w:r w:rsidRPr="00C47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https://benthamopen.com/contents/pdf/TOCOMMJ/TOCOMMJ-9-56.pdf</w:t>
      </w:r>
    </w:p>
    <w:bookmarkEnd w:id="4"/>
    <w:p w14:paraId="409492CA" w14:textId="77777777" w:rsidR="009A66A4" w:rsidRPr="00825E25" w:rsidRDefault="009A66A4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E3E681" w14:textId="26546219" w:rsidR="004D5524" w:rsidRPr="00825E25" w:rsidRDefault="004D5524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5" w:name="_Hlk149832801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Goodman, K. (1979).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Reading in the bilingual classroom: Literacy and biliteracy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National Clearinghouse for Bilingual Education.</w:t>
      </w:r>
    </w:p>
    <w:bookmarkEnd w:id="5"/>
    <w:p w14:paraId="37809864" w14:textId="77777777" w:rsidR="004D5524" w:rsidRPr="00825E25" w:rsidRDefault="004D5524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9049ED" w14:textId="77777777" w:rsidR="00595885" w:rsidRPr="00825E25" w:rsidRDefault="0059588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Gort, M. (2019). Developing bilingualism and biliteracy in early and middle childhood.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Language Arts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96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229-243.</w:t>
      </w:r>
    </w:p>
    <w:p w14:paraId="3C189AA2" w14:textId="77777777" w:rsidR="00406A98" w:rsidRPr="00825E25" w:rsidRDefault="00406A98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7D94C7" w14:textId="77777777" w:rsidR="00406A98" w:rsidRPr="00406A98" w:rsidRDefault="00406A98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06A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Hanauer, D. I. (2005). Continua of biliteracy: An ecological framework for educational policy, research, and practice in multilingual settings. </w:t>
      </w:r>
      <w:r w:rsidRPr="00406A9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Language in Society</w:t>
      </w:r>
      <w:r w:rsidRPr="00406A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406A9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34</w:t>
      </w:r>
      <w:r w:rsidRPr="00406A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300-302.</w:t>
      </w:r>
    </w:p>
    <w:p w14:paraId="37E8932C" w14:textId="77777777" w:rsidR="00406A98" w:rsidRPr="00825E25" w:rsidRDefault="00406A98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73C52F" w14:textId="5E4FF2D5" w:rsidR="00A63C49" w:rsidRPr="00825E25" w:rsidRDefault="00A63C49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25E25">
        <w:rPr>
          <w:rFonts w:ascii="Times New Roman" w:eastAsia="Times New Roman" w:hAnsi="Times New Roman" w:cs="Times New Roman"/>
          <w:sz w:val="24"/>
          <w:szCs w:val="24"/>
        </w:rPr>
        <w:t xml:space="preserve">Hancock, C. R., &amp; Davin, K. J. (2020). A comparative case study: Administrators' and students' perceptions of the Seal of Biliteracy. </w:t>
      </w:r>
      <w:r w:rsidRPr="00825E25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825E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825E25">
        <w:rPr>
          <w:rFonts w:ascii="Times New Roman" w:eastAsia="Times New Roman" w:hAnsi="Times New Roman" w:cs="Times New Roman"/>
          <w:sz w:val="24"/>
          <w:szCs w:val="24"/>
        </w:rPr>
        <w:t xml:space="preserve">(3), 458-477.  </w:t>
      </w:r>
    </w:p>
    <w:p w14:paraId="44B47316" w14:textId="77777777" w:rsidR="00A63C49" w:rsidRPr="00825E25" w:rsidRDefault="00A63C49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F08C44" w14:textId="07FF6C99" w:rsidR="00C82A2C" w:rsidRPr="00825E25" w:rsidRDefault="00C82A2C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Hancock, C. R., &amp; Davin, K. J. (2021). Shifting ideologies: The Seal of Biliteracy in the United States. 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U. </w:t>
      </w:r>
      <w:proofErr w:type="spellStart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Lanvers</w:t>
      </w:r>
      <w:proofErr w:type="spellEnd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A. S. Thompson, &amp; M. East (Eds.). (2021).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Language learning in Anglophone countries: Challenges, practices, ways forward 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(pp. 71-88). Springer.</w:t>
      </w:r>
    </w:p>
    <w:p w14:paraId="17C6210E" w14:textId="77777777" w:rsidR="00EA5E3C" w:rsidRPr="00825E25" w:rsidRDefault="00EA5E3C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E97910" w14:textId="77777777" w:rsidR="00406A98" w:rsidRPr="00825E25" w:rsidRDefault="00406A98" w:rsidP="00825E2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25E25">
        <w:rPr>
          <w:rFonts w:ascii="Times New Roman" w:hAnsi="Times New Roman" w:cs="Times New Roman"/>
          <w:sz w:val="24"/>
          <w:szCs w:val="24"/>
        </w:rPr>
        <w:t xml:space="preserve">Heineke, A. J., &amp; Davin, K. J. (Eds.). (2020). </w:t>
      </w:r>
      <w:r w:rsidRPr="00825E25">
        <w:rPr>
          <w:rFonts w:ascii="Times New Roman" w:hAnsi="Times New Roman" w:cs="Times New Roman"/>
          <w:i/>
          <w:iCs/>
          <w:sz w:val="24"/>
          <w:szCs w:val="24"/>
        </w:rPr>
        <w:t>The seal of biliteracy: Case studies and considerations for policy implementation</w:t>
      </w:r>
      <w:r w:rsidRPr="00825E25">
        <w:rPr>
          <w:rFonts w:ascii="Times New Roman" w:hAnsi="Times New Roman" w:cs="Times New Roman"/>
          <w:sz w:val="24"/>
          <w:szCs w:val="24"/>
        </w:rPr>
        <w:t xml:space="preserve">. IAP.  </w:t>
      </w:r>
    </w:p>
    <w:p w14:paraId="0AEB6E0C" w14:textId="77777777" w:rsidR="00406A98" w:rsidRPr="00825E25" w:rsidRDefault="00406A98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4B1CCE" w14:textId="77777777" w:rsidR="00757205" w:rsidRPr="00757205" w:rsidRDefault="0075720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72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Heineke, A. J., Davin, K. J., &amp; Bedford, A. (2018). The Seal of Biliteracy: Considering equity and access for English learners. </w:t>
      </w:r>
      <w:r w:rsidRPr="007572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Education Policy Analysis Archives</w:t>
      </w:r>
      <w:r w:rsidRPr="007572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7572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26</w:t>
      </w:r>
      <w:r w:rsidRPr="007572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99-99.</w:t>
      </w:r>
    </w:p>
    <w:p w14:paraId="6C8BF334" w14:textId="77777777" w:rsidR="00757205" w:rsidRPr="00825E25" w:rsidRDefault="0075720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5C959D" w14:textId="10376F7D" w:rsidR="0008080E" w:rsidRPr="00825E25" w:rsidRDefault="00EA5E3C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25E25">
        <w:rPr>
          <w:rFonts w:ascii="Times New Roman" w:eastAsia="Times New Roman" w:hAnsi="Times New Roman" w:cs="Times New Roman"/>
          <w:sz w:val="24"/>
          <w:szCs w:val="24"/>
        </w:rPr>
        <w:t xml:space="preserve">Heineke, A. J., Davin, K. J., &amp; Elliott, J. (2024). The Seal of Biliteracy and dual language bilingual education. In J. A. Freire, C. Alfaro, &amp; E. J. De Jong (Eds.), </w:t>
      </w:r>
      <w:r w:rsidRPr="00825E25">
        <w:rPr>
          <w:rFonts w:ascii="Times New Roman" w:eastAsia="Times New Roman" w:hAnsi="Times New Roman" w:cs="Times New Roman"/>
          <w:i/>
          <w:iCs/>
          <w:sz w:val="24"/>
          <w:szCs w:val="24"/>
        </w:rPr>
        <w:t>The handbook of dual language bilingual education</w:t>
      </w:r>
      <w:r w:rsidRPr="00825E25">
        <w:rPr>
          <w:rFonts w:ascii="Times New Roman" w:eastAsia="Times New Roman" w:hAnsi="Times New Roman" w:cs="Times New Roman"/>
          <w:sz w:val="24"/>
          <w:szCs w:val="24"/>
        </w:rPr>
        <w:t xml:space="preserve"> (pp. 337-346). Routledge.</w:t>
      </w:r>
    </w:p>
    <w:p w14:paraId="748EB255" w14:textId="77777777" w:rsidR="0093224E" w:rsidRPr="00825E25" w:rsidRDefault="0093224E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1C3803" w14:textId="77777777" w:rsidR="0093224E" w:rsidRPr="00825E25" w:rsidRDefault="0093224E" w:rsidP="00825E25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25E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Hernández, R. T., &amp; </w:t>
      </w:r>
      <w:proofErr w:type="spellStart"/>
      <w:r w:rsidRPr="00825E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Subtirelu</w:t>
      </w:r>
      <w:proofErr w:type="spellEnd"/>
      <w:r w:rsidRPr="00825E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N. C. (2021). Educators influencing policy: The language opportunity coalition and the Seal of Biliteracy in the U.S. In P. Vinogradova &amp; J. K. Shin (Eds.),</w:t>
      </w:r>
      <w:r w:rsidRPr="00825E2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25E2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Contemporary foundations for teaching English as an additional language: Pedagogical approaches and classroom applications</w:t>
      </w:r>
      <w:r w:rsidRPr="00825E2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25E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(pp. 257-264). Routledge.</w:t>
      </w:r>
    </w:p>
    <w:p w14:paraId="32BD6927" w14:textId="77777777" w:rsidR="00595885" w:rsidRPr="00825E25" w:rsidRDefault="0059588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Hopewell, S., &amp; Escamilla, K. (2014). Biliteracy development in immersion contexts.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Immersion and Content-Based Language Education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181-195.</w:t>
      </w:r>
    </w:p>
    <w:p w14:paraId="1A164B40" w14:textId="77777777" w:rsidR="0008080E" w:rsidRPr="00825E25" w:rsidRDefault="0008080E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CFA69B" w14:textId="2D2B15BD" w:rsidR="0008080E" w:rsidRPr="00825E25" w:rsidRDefault="0008080E" w:rsidP="00825E25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25E25">
        <w:rPr>
          <w:rFonts w:ascii="Times New Roman" w:hAnsi="Times New Roman" w:cs="Times New Roman"/>
          <w:color w:val="000000"/>
          <w:sz w:val="24"/>
          <w:szCs w:val="24"/>
        </w:rPr>
        <w:t xml:space="preserve">Hornberger, N. H. (1989). Continua of biliteracy. </w:t>
      </w:r>
      <w:r w:rsidRPr="00825E25">
        <w:rPr>
          <w:rFonts w:ascii="Times New Roman" w:hAnsi="Times New Roman" w:cs="Times New Roman"/>
          <w:i/>
          <w:color w:val="000000"/>
          <w:sz w:val="24"/>
          <w:szCs w:val="24"/>
        </w:rPr>
        <w:t>Review of Educational Research</w:t>
      </w:r>
      <w:r w:rsidRPr="00825E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25E25">
        <w:rPr>
          <w:rFonts w:ascii="Times New Roman" w:hAnsi="Times New Roman" w:cs="Times New Roman"/>
          <w:i/>
          <w:color w:val="000000"/>
          <w:sz w:val="24"/>
          <w:szCs w:val="24"/>
        </w:rPr>
        <w:t>59</w:t>
      </w:r>
      <w:r w:rsidRPr="00825E25">
        <w:rPr>
          <w:rFonts w:ascii="Times New Roman" w:hAnsi="Times New Roman" w:cs="Times New Roman"/>
          <w:color w:val="000000"/>
          <w:sz w:val="24"/>
          <w:szCs w:val="24"/>
        </w:rPr>
        <w:t xml:space="preserve">(3), 271–296. </w:t>
      </w:r>
      <w:hyperlink r:id="rId6" w:history="1">
        <w:r w:rsidR="00A31B25" w:rsidRPr="00825E2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https://doi.org/10.3102/00346543059003271</w:t>
        </w:r>
      </w:hyperlink>
    </w:p>
    <w:p w14:paraId="44828FF6" w14:textId="5FD9B4B2" w:rsidR="00A31B25" w:rsidRPr="00825E25" w:rsidRDefault="00A31B25" w:rsidP="00825E25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bookmarkStart w:id="6" w:name="_Hlk121990672"/>
      <w:r w:rsidRPr="00825E25">
        <w:rPr>
          <w:rFonts w:ascii="Times New Roman" w:hAnsi="Times New Roman" w:cs="Times New Roman"/>
          <w:color w:val="000000"/>
          <w:sz w:val="24"/>
          <w:szCs w:val="24"/>
        </w:rPr>
        <w:t xml:space="preserve">Hornberger, N. H. (2002). Multilingual language policies and the continua of biliteracy: An ecological approach. </w:t>
      </w:r>
      <w:r w:rsidRPr="00825E25">
        <w:rPr>
          <w:rFonts w:ascii="Times New Roman" w:hAnsi="Times New Roman" w:cs="Times New Roman"/>
          <w:i/>
          <w:color w:val="000000"/>
          <w:sz w:val="24"/>
          <w:szCs w:val="24"/>
        </w:rPr>
        <w:t>Language Policy</w:t>
      </w:r>
      <w:r w:rsidRPr="00825E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25E25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Pr="00825E25">
        <w:rPr>
          <w:rFonts w:ascii="Times New Roman" w:hAnsi="Times New Roman" w:cs="Times New Roman"/>
          <w:color w:val="000000"/>
          <w:sz w:val="24"/>
          <w:szCs w:val="24"/>
        </w:rPr>
        <w:t xml:space="preserve">(1), 27–51.   </w:t>
      </w:r>
      <w:hyperlink r:id="rId7" w:history="1">
        <w:r w:rsidRPr="00825E2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https://doi.org/10.1023/A:1014548611951</w:t>
        </w:r>
      </w:hyperlink>
      <w:bookmarkEnd w:id="6"/>
    </w:p>
    <w:p w14:paraId="4E04718A" w14:textId="77777777" w:rsidR="00793B18" w:rsidRPr="00825E25" w:rsidRDefault="004837E7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Hornberger, N. H. (Ed.). (2003).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Continua of biliteracy: An ecological framework for educational policy, research, and practice in multilingual settings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(Vol. 41). Multilingual Matters.</w:t>
      </w:r>
    </w:p>
    <w:p w14:paraId="4865255A" w14:textId="77777777" w:rsidR="00793B18" w:rsidRPr="00825E25" w:rsidRDefault="00793B18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E7295A" w14:textId="77777777" w:rsidR="00793B18" w:rsidRPr="00825E25" w:rsidRDefault="00A1290F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Hornberger, N. H. (2004). The continua of biliteracy and the bilingual educator: Educational linguistics in practice.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International Journal of Bilingual Education and Bilingualism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7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(2-3), 155-171.</w:t>
      </w:r>
      <w:bookmarkStart w:id="7" w:name="_Hlk149736005"/>
    </w:p>
    <w:p w14:paraId="25391925" w14:textId="77777777" w:rsidR="00793B18" w:rsidRPr="00825E25" w:rsidRDefault="00793B18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42E2E1" w14:textId="77777777" w:rsidR="001A4A88" w:rsidRPr="00825E25" w:rsidRDefault="00EA2567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Hornberger, N. H., &amp; Link, H. (2012). Translanguaging in today's classrooms: A biliteracy lens.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Theory into Practice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51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239-247.</w:t>
      </w:r>
      <w:bookmarkEnd w:id="7"/>
    </w:p>
    <w:p w14:paraId="0D7AC137" w14:textId="77777777" w:rsidR="001A4A88" w:rsidRPr="00825E25" w:rsidRDefault="001A4A88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CB6BC0" w14:textId="3006BC83" w:rsidR="00D16D98" w:rsidRPr="00825E25" w:rsidRDefault="00D16D98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Hornberger, N. H., &amp; Skilton-Sylvester, E.</w:t>
      </w:r>
      <w:r w:rsidR="00B304E0"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(2000). Revisiting the continua of biliteracy: International and critical perspectives.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Language and Education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14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96-122.</w:t>
      </w:r>
    </w:p>
    <w:p w14:paraId="3B779541" w14:textId="77777777" w:rsidR="00595885" w:rsidRPr="00825E25" w:rsidRDefault="0059588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ABF9CE" w14:textId="5D1CE683" w:rsidR="00B304E0" w:rsidRPr="00825E25" w:rsidRDefault="00B304E0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8" w:name="_Hlk149833416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Hornberger, N. H., &amp; Wang, S. C. (2017). Who are our heritage language </w:t>
      </w:r>
      <w:proofErr w:type="gramStart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learners?:</w:t>
      </w:r>
      <w:proofErr w:type="gramEnd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Identity and biliteracy in heritage language education in the United States. In D. M. Brinton, O. Kagan, &amp; </w:t>
      </w:r>
      <w:r w:rsidR="00066391"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S. </w:t>
      </w:r>
      <w:proofErr w:type="spellStart"/>
      <w:r w:rsidR="00066391"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Bauckus</w:t>
      </w:r>
      <w:proofErr w:type="spellEnd"/>
      <w:r w:rsidR="00066391"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(Eds.),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Heritage language education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(pp. 3-36). Routledge.</w:t>
      </w:r>
    </w:p>
    <w:p w14:paraId="4D3063C9" w14:textId="77777777" w:rsidR="002B6485" w:rsidRPr="00825E25" w:rsidRDefault="002B648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DDC026" w14:textId="0D735466" w:rsidR="002B6485" w:rsidRPr="00825E25" w:rsidRDefault="002B648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9" w:name="_Hlk149833915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Jared, D., Cormier, P., Levy, B. A., &amp; Wade-Woolley, L. (2011). Early predictors of biliteracy development in children in French immersion: A 4-year longitudinal study.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Educational Psychology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103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119-140.</w:t>
      </w:r>
    </w:p>
    <w:bookmarkEnd w:id="9"/>
    <w:p w14:paraId="52706C22" w14:textId="77777777" w:rsidR="002B6485" w:rsidRPr="00825E25" w:rsidRDefault="002B648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bookmarkEnd w:id="8"/>
    <w:p w14:paraId="36940ACC" w14:textId="7179CD9F" w:rsidR="00595885" w:rsidRPr="00825E25" w:rsidRDefault="0059588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Kenner, C., Kress, G., Al-Khatib, H., Kam, R., &amp; Tsai, K. C. (2004). Finding the keys to biliteracy: How young children interpret different writing systems.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Language and Education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18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124-144.</w:t>
      </w:r>
    </w:p>
    <w:p w14:paraId="51F81B4A" w14:textId="77777777" w:rsidR="0083573E" w:rsidRPr="00825E25" w:rsidRDefault="0083573E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FC855F" w14:textId="45CD8239" w:rsidR="00595885" w:rsidRPr="00825E25" w:rsidRDefault="0059588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0" w:name="_Hlk149833131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Li, G. (2006). Biliteracy and trilingual practices in the home context: Case studies of Chinese-Canadian children.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Early Childhood Literacy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6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(3), 355-381.</w:t>
      </w:r>
    </w:p>
    <w:bookmarkEnd w:id="10"/>
    <w:p w14:paraId="038BE421" w14:textId="77777777" w:rsidR="00595885" w:rsidRPr="00825E25" w:rsidRDefault="0059588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DDB8A7" w14:textId="77777777" w:rsidR="0083573E" w:rsidRPr="00825E25" w:rsidRDefault="0083573E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Lyster, R., Quiroga, J., &amp; Ballinger, S. (2013). The effects of biliteracy instruction on morphological awareness.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Immersion and Content-Based Language Education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169-197.</w:t>
      </w:r>
    </w:p>
    <w:p w14:paraId="71D79182" w14:textId="77777777" w:rsidR="00B00A11" w:rsidRPr="00825E25" w:rsidRDefault="00B00A11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8644A0" w14:textId="46886E56" w:rsidR="00B00A11" w:rsidRPr="00825E25" w:rsidRDefault="00B00A11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1" w:name="_Hlk149734603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Moll, L. C., Saez, R., &amp; </w:t>
      </w:r>
      <w:proofErr w:type="spellStart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Dworin</w:t>
      </w:r>
      <w:proofErr w:type="spellEnd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J. (2001). Exploring biliteracy: Two student case examples of writing as a social practice.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Elementary School Journal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101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435-449.</w:t>
      </w:r>
    </w:p>
    <w:bookmarkEnd w:id="11"/>
    <w:p w14:paraId="7FD5D191" w14:textId="77777777" w:rsidR="00B00A11" w:rsidRPr="00825E25" w:rsidRDefault="00B00A11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A631A3" w14:textId="77777777" w:rsidR="00537796" w:rsidRPr="00825E25" w:rsidRDefault="00D72275" w:rsidP="00825E2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25E25">
        <w:rPr>
          <w:rFonts w:ascii="Times New Roman" w:hAnsi="Times New Roman" w:cs="Times New Roman"/>
          <w:sz w:val="24"/>
          <w:szCs w:val="24"/>
        </w:rPr>
        <w:t xml:space="preserve">Monto, C. (2022). Bringing the state Seal of Biliteracy to higher education: A case for expansion. </w:t>
      </w:r>
      <w:r w:rsidRPr="00825E25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825E25">
        <w:rPr>
          <w:rFonts w:ascii="Times New Roman" w:hAnsi="Times New Roman" w:cs="Times New Roman"/>
          <w:sz w:val="24"/>
          <w:szCs w:val="24"/>
        </w:rPr>
        <w:t xml:space="preserve">, </w:t>
      </w:r>
      <w:r w:rsidRPr="00825E25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825E25">
        <w:rPr>
          <w:rFonts w:ascii="Times New Roman" w:hAnsi="Times New Roman" w:cs="Times New Roman"/>
          <w:sz w:val="24"/>
          <w:szCs w:val="24"/>
        </w:rPr>
        <w:t>(1), 35-53.</w:t>
      </w:r>
      <w:r w:rsidR="00537796" w:rsidRPr="00825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28808" w14:textId="079A045E" w:rsidR="00537796" w:rsidRPr="00825E25" w:rsidRDefault="00537796" w:rsidP="00825E25">
      <w:pPr>
        <w:spacing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Noguerón</w:t>
      </w:r>
      <w:proofErr w:type="spellEnd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‐Liu, S. (2020). Expanding the knowledge base in literacy instruction and assessment: Biliteracy and translanguaging perspectives from families, communities, and classrooms.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Reading Research Quarterly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55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S307-S318.</w:t>
      </w:r>
    </w:p>
    <w:p w14:paraId="198B4ACC" w14:textId="0DF127B9" w:rsidR="00E55AF3" w:rsidRPr="00825E25" w:rsidRDefault="00E55AF3" w:rsidP="00825E2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25E25">
        <w:rPr>
          <w:rFonts w:ascii="Times New Roman" w:hAnsi="Times New Roman" w:cs="Times New Roman"/>
          <w:sz w:val="24"/>
          <w:szCs w:val="24"/>
        </w:rPr>
        <w:t>Okraski</w:t>
      </w:r>
      <w:proofErr w:type="spellEnd"/>
      <w:r w:rsidRPr="00825E25">
        <w:rPr>
          <w:rFonts w:ascii="Times New Roman" w:hAnsi="Times New Roman" w:cs="Times New Roman"/>
          <w:sz w:val="24"/>
          <w:szCs w:val="24"/>
        </w:rPr>
        <w:t xml:space="preserve">, C. V., Hancock, C. R., &amp; Davin, K. J. (2020). An innovative approach to the Seal of Biliteracy in Minnesota. In A. J. Heineke &amp; K. J. Davin (Eds.), </w:t>
      </w:r>
      <w:r w:rsidRPr="00825E25">
        <w:rPr>
          <w:rFonts w:ascii="Times New Roman" w:hAnsi="Times New Roman" w:cs="Times New Roman"/>
          <w:i/>
          <w:iCs/>
          <w:sz w:val="24"/>
          <w:szCs w:val="24"/>
        </w:rPr>
        <w:t>The Seal of Biliteracy: Case studies and considerations for policy implementation</w:t>
      </w:r>
      <w:r w:rsidRPr="00825E25">
        <w:rPr>
          <w:rFonts w:ascii="Times New Roman" w:hAnsi="Times New Roman" w:cs="Times New Roman"/>
          <w:sz w:val="24"/>
          <w:szCs w:val="24"/>
        </w:rPr>
        <w:t xml:space="preserve"> (pp. 67-84). IAP.  </w:t>
      </w:r>
    </w:p>
    <w:p w14:paraId="6AEAF5E6" w14:textId="52E868DF" w:rsidR="00AA139C" w:rsidRPr="00825E25" w:rsidRDefault="00AA139C" w:rsidP="00825E2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13161836"/>
      <w:r w:rsidRPr="00825E25">
        <w:rPr>
          <w:rFonts w:ascii="Times New Roman" w:hAnsi="Times New Roman" w:cs="Times New Roman"/>
          <w:sz w:val="24"/>
          <w:szCs w:val="24"/>
        </w:rPr>
        <w:t>Palmer, D. K., Cervantes-Soon, C., Dorner, L., &amp; Heiman, D. (2019). Bilingualism, biliteracy, biculturalism, and critical consciousness for all: Proposing a fourth fundamental goal for two-way dual language education. </w:t>
      </w:r>
      <w:r w:rsidRPr="00825E25">
        <w:rPr>
          <w:rFonts w:ascii="Times New Roman" w:hAnsi="Times New Roman" w:cs="Times New Roman"/>
          <w:i/>
          <w:iCs/>
          <w:sz w:val="24"/>
          <w:szCs w:val="24"/>
        </w:rPr>
        <w:t>Theory into Practice</w:t>
      </w:r>
      <w:r w:rsidRPr="00825E25">
        <w:rPr>
          <w:rFonts w:ascii="Times New Roman" w:hAnsi="Times New Roman" w:cs="Times New Roman"/>
          <w:sz w:val="24"/>
          <w:szCs w:val="24"/>
        </w:rPr>
        <w:t>, </w:t>
      </w:r>
      <w:r w:rsidRPr="00825E25">
        <w:rPr>
          <w:rFonts w:ascii="Times New Roman" w:hAnsi="Times New Roman" w:cs="Times New Roman"/>
          <w:i/>
          <w:iCs/>
          <w:sz w:val="24"/>
          <w:szCs w:val="24"/>
        </w:rPr>
        <w:t>58</w:t>
      </w:r>
      <w:r w:rsidRPr="00825E25">
        <w:rPr>
          <w:rFonts w:ascii="Times New Roman" w:hAnsi="Times New Roman" w:cs="Times New Roman"/>
          <w:sz w:val="24"/>
          <w:szCs w:val="24"/>
        </w:rPr>
        <w:t>(2), 121-133</w:t>
      </w:r>
      <w:bookmarkEnd w:id="12"/>
      <w:r w:rsidRPr="00825E25">
        <w:rPr>
          <w:rFonts w:ascii="Times New Roman" w:hAnsi="Times New Roman" w:cs="Times New Roman"/>
          <w:sz w:val="24"/>
          <w:szCs w:val="24"/>
        </w:rPr>
        <w:t>.</w:t>
      </w:r>
    </w:p>
    <w:p w14:paraId="08A7CD33" w14:textId="77777777" w:rsidR="00793B18" w:rsidRPr="00825E25" w:rsidRDefault="00E47827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120A"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  <w:t xml:space="preserve">Palmer, D. K., &amp; Martínez, R. A. (2016). 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Developing biliteracy: What do teachers really need to know about </w:t>
      </w:r>
      <w:proofErr w:type="gramStart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language?.</w:t>
      </w:r>
      <w:proofErr w:type="gramEnd"/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Language Arts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93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(5), 379-385.</w:t>
      </w:r>
    </w:p>
    <w:p w14:paraId="17ED5848" w14:textId="77777777" w:rsidR="00793B18" w:rsidRPr="00825E25" w:rsidRDefault="00793B18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6BCC61" w14:textId="2877D32E" w:rsidR="0089552D" w:rsidRPr="00825E25" w:rsidRDefault="0089552D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Pérez, B. (2004). Language, literacy, and biliteracy. In B. Pérez (Ed.),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Sociocultural contexts of language and literacy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(pp. 37-68). Routledge.</w:t>
      </w:r>
    </w:p>
    <w:p w14:paraId="27921F4C" w14:textId="77777777" w:rsidR="0002311E" w:rsidRPr="00825E25" w:rsidRDefault="0002311E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DBB8B6" w14:textId="77777777" w:rsidR="0002311E" w:rsidRPr="0002311E" w:rsidRDefault="0002311E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31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Quintero, E., &amp; Huerta-Macias, A. (1990). All in the family: Bilingualism and biliteracy. </w:t>
      </w:r>
      <w:r w:rsidRPr="0002311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Reading Teacher</w:t>
      </w:r>
      <w:r w:rsidRPr="000231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02311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44</w:t>
      </w:r>
      <w:r w:rsidRPr="000231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306-312.</w:t>
      </w:r>
    </w:p>
    <w:p w14:paraId="40B50351" w14:textId="77777777" w:rsidR="001A4A88" w:rsidRPr="00825E25" w:rsidRDefault="001A4A88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6D4B46" w14:textId="771CE437" w:rsidR="00493F90" w:rsidRDefault="00493F90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Reyes, I. (2006). Exploring connections between emergent biliteracy and bilingualism.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Early Childhood Literacy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6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(3), 267-292.</w:t>
      </w:r>
    </w:p>
    <w:p w14:paraId="66848C22" w14:textId="77777777" w:rsidR="004D0389" w:rsidRPr="00825E25" w:rsidRDefault="004D0389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56124B" w14:textId="77777777" w:rsidR="00793B18" w:rsidRPr="00825E25" w:rsidRDefault="00D16D98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Reyes, I. (2012). Biliteracy among children and youths.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Reading Research Quarterly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47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(3), 307-327.</w:t>
      </w:r>
    </w:p>
    <w:p w14:paraId="10EAC83F" w14:textId="77777777" w:rsidR="00793B18" w:rsidRPr="00825E25" w:rsidRDefault="00793B18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0DDF02" w14:textId="1C089938" w:rsidR="0042253D" w:rsidRPr="00825E25" w:rsidRDefault="0042253D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Reyes, I., &amp; Azuara, P. (2008). Emergent biliteracy in young Mexican immigrant children.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Reading Research Quarterly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43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374-398.</w:t>
      </w:r>
    </w:p>
    <w:p w14:paraId="5CA9D8A6" w14:textId="77777777" w:rsidR="009771D3" w:rsidRPr="00825E25" w:rsidRDefault="009771D3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E8A7F7" w14:textId="77777777" w:rsidR="009771D3" w:rsidRPr="009771D3" w:rsidRDefault="009771D3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71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Ro, Y. E., &amp; Cheatham, G. A. (2009). Biliteracy and bilingual development in a second-generation Korean child: A case study. </w:t>
      </w:r>
      <w:r w:rsidRPr="009771D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Research in Childhood Education</w:t>
      </w:r>
      <w:r w:rsidRPr="009771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9771D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23</w:t>
      </w:r>
      <w:r w:rsidRPr="009771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(3), 290-308.</w:t>
      </w:r>
    </w:p>
    <w:p w14:paraId="37B397D7" w14:textId="77777777" w:rsidR="0063528F" w:rsidRPr="00825E25" w:rsidRDefault="0063528F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806A14" w14:textId="25725F61" w:rsidR="0063528F" w:rsidRPr="00825E25" w:rsidRDefault="0063528F" w:rsidP="00825E25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25E25">
        <w:rPr>
          <w:rFonts w:ascii="Times New Roman" w:eastAsia="Times New Roman" w:hAnsi="Times New Roman" w:cs="Times New Roman"/>
          <w:sz w:val="24"/>
          <w:szCs w:val="24"/>
        </w:rPr>
        <w:t xml:space="preserve">Rowe, L. W. (2022). Google Translate and biliterate composing: Second‐graders' use of digital translation tools to support bilingual writing. </w:t>
      </w:r>
      <w:r w:rsidRPr="00825E25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825E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825E25">
        <w:rPr>
          <w:rFonts w:ascii="Times New Roman" w:eastAsia="Times New Roman" w:hAnsi="Times New Roman" w:cs="Times New Roman"/>
          <w:sz w:val="24"/>
          <w:szCs w:val="24"/>
        </w:rPr>
        <w:t>(3), 883-906.</w:t>
      </w:r>
    </w:p>
    <w:p w14:paraId="38A1204E" w14:textId="77777777" w:rsidR="00EB19A9" w:rsidRDefault="00EB19A9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B19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Subtirelu</w:t>
      </w:r>
      <w:proofErr w:type="spellEnd"/>
      <w:r w:rsidRPr="00EB19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N. C., Borowczyk, M., Thorson Hernández, R., &amp; Venezia, F. (2019). Recognizing whose bilingualism? A critical policy analysis of the Seal of Biliteracy. </w:t>
      </w:r>
      <w:r w:rsidRPr="00EB19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Modern Language Journal</w:t>
      </w:r>
      <w:r w:rsidRPr="00EB19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EB19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103</w:t>
      </w:r>
      <w:r w:rsidRPr="00EB19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371-390.</w:t>
      </w:r>
    </w:p>
    <w:p w14:paraId="68B396CE" w14:textId="77777777" w:rsidR="004D0389" w:rsidRPr="00EB19A9" w:rsidRDefault="004D0389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191C24" w14:textId="77777777" w:rsidR="003E2340" w:rsidRPr="00825E25" w:rsidRDefault="003E2340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Vaish, V. (2008).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Biliteracy and globalization: English language education in India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(Vol. 67). Multilingual Matters.</w:t>
      </w:r>
    </w:p>
    <w:p w14:paraId="659DB616" w14:textId="77777777" w:rsidR="003074D0" w:rsidRPr="00825E25" w:rsidRDefault="003074D0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FFEAFA" w14:textId="6E4990B9" w:rsidR="00FE2939" w:rsidRPr="00FE2939" w:rsidRDefault="00FE2939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29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Verhoeven, L., &amp; Aarts, R. (2013). Attaining functional biliteracy in the Netherlands. In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25E25">
        <w:rPr>
          <w:rStyle w:val="product-banner-author-name"/>
          <w:rFonts w:ascii="Times New Roman" w:hAnsi="Times New Roman" w:cs="Times New Roman"/>
          <w:sz w:val="24"/>
          <w:szCs w:val="24"/>
        </w:rPr>
        <w:t xml:space="preserve">A. Y. </w:t>
      </w:r>
      <w:proofErr w:type="spellStart"/>
      <w:r w:rsidRPr="00825E25">
        <w:rPr>
          <w:rStyle w:val="product-banner-author-name"/>
          <w:rFonts w:ascii="Times New Roman" w:hAnsi="Times New Roman" w:cs="Times New Roman"/>
          <w:sz w:val="24"/>
          <w:szCs w:val="24"/>
        </w:rPr>
        <w:t>Durgunoglu</w:t>
      </w:r>
      <w:proofErr w:type="spellEnd"/>
      <w:r w:rsidRPr="00825E25">
        <w:rPr>
          <w:rStyle w:val="product-banner-author-name"/>
          <w:rFonts w:ascii="Times New Roman" w:hAnsi="Times New Roman" w:cs="Times New Roman"/>
          <w:sz w:val="24"/>
          <w:szCs w:val="24"/>
        </w:rPr>
        <w:t xml:space="preserve"> &amp; L. Verhoeven (Eds.),</w:t>
      </w:r>
      <w:r w:rsidRPr="00FE29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E29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Literacy development in a multilingual context</w:t>
      </w:r>
      <w:r w:rsidRPr="00FE29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(pp. 111-133). Routledge.</w:t>
      </w:r>
    </w:p>
    <w:p w14:paraId="04DF79A9" w14:textId="77777777" w:rsidR="00FE2939" w:rsidRPr="00825E25" w:rsidRDefault="00FE2939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C5ECCF" w14:textId="6802E59E" w:rsidR="003074D0" w:rsidRPr="00825E25" w:rsidRDefault="003074D0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Wang, M., Cheng, C., &amp; Chen, S. W. (2006). Contribution of morphological awareness to Chinese-English biliteracy acquisition.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Educational Psychology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98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(3), 542-553.</w:t>
      </w:r>
    </w:p>
    <w:p w14:paraId="4E4C8CBE" w14:textId="77777777" w:rsidR="00066391" w:rsidRPr="00825E25" w:rsidRDefault="00066391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1C2936" w14:textId="77777777" w:rsidR="00066391" w:rsidRPr="00825E25" w:rsidRDefault="00066391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Wang, M., Perfetti, C. A., &amp; Liu, Y. (2005). Chinese–English biliteracy acquisition: Cross-language and writing system transfer.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Cognition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97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67-88.</w:t>
      </w:r>
    </w:p>
    <w:p w14:paraId="0D739EB8" w14:textId="77777777" w:rsidR="00066391" w:rsidRPr="00825E25" w:rsidRDefault="00066391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0AB069" w14:textId="77777777" w:rsidR="00595885" w:rsidRPr="00825E25" w:rsidRDefault="0059588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Wang, M., Yang, C., &amp; Cheng, C. (2009). The contributions of phonology, orthography, and morphology in Chinese–English biliteracy acquisition.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Applied Psycholinguistics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30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291-314.</w:t>
      </w:r>
    </w:p>
    <w:p w14:paraId="7379A0C0" w14:textId="77777777" w:rsidR="00595885" w:rsidRPr="00825E25" w:rsidRDefault="00595885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D8892F" w14:textId="14BB859B" w:rsidR="001A72A7" w:rsidRPr="001A72A7" w:rsidRDefault="001A72A7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7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Wessels, S., &amp; </w:t>
      </w:r>
      <w:proofErr w:type="spellStart"/>
      <w:r w:rsidRPr="001A7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Trainin</w:t>
      </w:r>
      <w:proofErr w:type="spellEnd"/>
      <w:r w:rsidRPr="001A7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G. (2023). From Bilingual to Biliteracy: Learning from Families. </w:t>
      </w:r>
      <w:r w:rsidRPr="001A72A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Early Childhood Education Journal</w:t>
      </w:r>
      <w:r w:rsidRPr="001A7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1-12.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https://digitalcommons.unl.edu/cgi/viewcontent.cgi?article=1533&amp;context=teachlearnfacpub</w:t>
      </w:r>
    </w:p>
    <w:p w14:paraId="1915EDA8" w14:textId="77777777" w:rsidR="001A72A7" w:rsidRPr="00825E25" w:rsidRDefault="001A72A7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931886" w14:textId="0D698066" w:rsidR="00066391" w:rsidRPr="00825E25" w:rsidRDefault="00066391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Wiese, A. M. (2004). Bilingualism and biliteracy for all? Unpacking two-way immersion at second grade.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Language and Education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25E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18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69-92.</w:t>
      </w:r>
    </w:p>
    <w:p w14:paraId="3FF0D754" w14:textId="77777777" w:rsidR="0002311E" w:rsidRPr="00825E25" w:rsidRDefault="0002311E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150E82" w14:textId="052D0C13" w:rsidR="00EB19A9" w:rsidRPr="00EB19A9" w:rsidRDefault="00EB19A9" w:rsidP="00825E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19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Wiley, T. G. (2005). Second language literacy and biliteracy. In</w:t>
      </w:r>
      <w:r w:rsidRPr="00825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E. Hinkel (Ed.), </w:t>
      </w:r>
      <w:r w:rsidRPr="00EB19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Handbook of research in second language teaching and learning</w:t>
      </w:r>
      <w:r w:rsidRPr="00EB19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(pp. 529-544). Routledge.</w:t>
      </w:r>
    </w:p>
    <w:p w14:paraId="2C47D501" w14:textId="77777777" w:rsidR="00EB19A9" w:rsidRPr="00825E25" w:rsidRDefault="00EB19A9" w:rsidP="00825E2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EB19A9" w:rsidRPr="00825E2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2D81" w14:textId="77777777" w:rsidR="004E579A" w:rsidRDefault="004E579A" w:rsidP="0049120A">
      <w:pPr>
        <w:spacing w:after="0" w:line="240" w:lineRule="auto"/>
      </w:pPr>
      <w:r>
        <w:separator/>
      </w:r>
    </w:p>
  </w:endnote>
  <w:endnote w:type="continuationSeparator" w:id="0">
    <w:p w14:paraId="29F2A545" w14:textId="77777777" w:rsidR="004E579A" w:rsidRDefault="004E579A" w:rsidP="0049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1C83" w14:textId="488D3A92" w:rsidR="0049120A" w:rsidRDefault="0049120A" w:rsidP="004912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853F" w14:textId="77777777" w:rsidR="004E579A" w:rsidRDefault="004E579A" w:rsidP="0049120A">
      <w:pPr>
        <w:spacing w:after="0" w:line="240" w:lineRule="auto"/>
      </w:pPr>
      <w:r>
        <w:separator/>
      </w:r>
    </w:p>
  </w:footnote>
  <w:footnote w:type="continuationSeparator" w:id="0">
    <w:p w14:paraId="76A26B3C" w14:textId="77777777" w:rsidR="004E579A" w:rsidRDefault="004E579A" w:rsidP="0049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A79C" w14:textId="03AAC656" w:rsidR="0049120A" w:rsidRDefault="0049120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0EB60F" wp14:editId="540A4D3F">
          <wp:simplePos x="0" y="0"/>
          <wp:positionH relativeFrom="column">
            <wp:posOffset>-395605</wp:posOffset>
          </wp:positionH>
          <wp:positionV relativeFrom="paragraph">
            <wp:posOffset>-344805</wp:posOffset>
          </wp:positionV>
          <wp:extent cx="3429000" cy="694690"/>
          <wp:effectExtent l="0" t="0" r="0" b="0"/>
          <wp:wrapThrough wrapText="bothSides">
            <wp:wrapPolygon edited="0">
              <wp:start x="2040" y="0"/>
              <wp:lineTo x="0" y="0"/>
              <wp:lineTo x="0" y="10069"/>
              <wp:lineTo x="480" y="18954"/>
              <wp:lineTo x="840" y="20731"/>
              <wp:lineTo x="6960" y="20731"/>
              <wp:lineTo x="6960" y="18954"/>
              <wp:lineTo x="21360" y="16585"/>
              <wp:lineTo x="21480" y="9477"/>
              <wp:lineTo x="7560" y="0"/>
              <wp:lineTo x="204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2B6E2" w14:textId="77777777" w:rsidR="0049120A" w:rsidRDefault="0049120A">
    <w:pPr>
      <w:pStyle w:val="Header"/>
    </w:pPr>
  </w:p>
  <w:p w14:paraId="46CD868D" w14:textId="356BCD2B" w:rsidR="0049120A" w:rsidRDefault="004912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53"/>
    <w:rsid w:val="0002311E"/>
    <w:rsid w:val="00037059"/>
    <w:rsid w:val="00063AE6"/>
    <w:rsid w:val="00066391"/>
    <w:rsid w:val="0008080E"/>
    <w:rsid w:val="00087E6E"/>
    <w:rsid w:val="000A2843"/>
    <w:rsid w:val="000B2953"/>
    <w:rsid w:val="001103FB"/>
    <w:rsid w:val="001A4A88"/>
    <w:rsid w:val="001A72A7"/>
    <w:rsid w:val="001C3A78"/>
    <w:rsid w:val="002B6485"/>
    <w:rsid w:val="003074D0"/>
    <w:rsid w:val="003E2340"/>
    <w:rsid w:val="00406A98"/>
    <w:rsid w:val="0042253D"/>
    <w:rsid w:val="004837E7"/>
    <w:rsid w:val="0049120A"/>
    <w:rsid w:val="00493F90"/>
    <w:rsid w:val="004D0389"/>
    <w:rsid w:val="004D5524"/>
    <w:rsid w:val="004E579A"/>
    <w:rsid w:val="004F42E7"/>
    <w:rsid w:val="00537796"/>
    <w:rsid w:val="00547D9C"/>
    <w:rsid w:val="00595885"/>
    <w:rsid w:val="0063528F"/>
    <w:rsid w:val="00647A9B"/>
    <w:rsid w:val="006E2A5D"/>
    <w:rsid w:val="00757205"/>
    <w:rsid w:val="00793B18"/>
    <w:rsid w:val="00825E25"/>
    <w:rsid w:val="0083573E"/>
    <w:rsid w:val="0089552D"/>
    <w:rsid w:val="008F05C6"/>
    <w:rsid w:val="0093224E"/>
    <w:rsid w:val="009674F0"/>
    <w:rsid w:val="009771D3"/>
    <w:rsid w:val="009A66A4"/>
    <w:rsid w:val="00A1290F"/>
    <w:rsid w:val="00A31B25"/>
    <w:rsid w:val="00A63C49"/>
    <w:rsid w:val="00A84D6B"/>
    <w:rsid w:val="00AA139C"/>
    <w:rsid w:val="00B00A11"/>
    <w:rsid w:val="00B02878"/>
    <w:rsid w:val="00B304E0"/>
    <w:rsid w:val="00C47EE5"/>
    <w:rsid w:val="00C665EC"/>
    <w:rsid w:val="00C76800"/>
    <w:rsid w:val="00C82A2C"/>
    <w:rsid w:val="00D16D98"/>
    <w:rsid w:val="00D72275"/>
    <w:rsid w:val="00DF5B9D"/>
    <w:rsid w:val="00E47827"/>
    <w:rsid w:val="00E47EA2"/>
    <w:rsid w:val="00E55AF3"/>
    <w:rsid w:val="00EA2567"/>
    <w:rsid w:val="00EA5E3C"/>
    <w:rsid w:val="00EB19A9"/>
    <w:rsid w:val="00F27304"/>
    <w:rsid w:val="00F93780"/>
    <w:rsid w:val="00FE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6F2A"/>
  <w15:chartTrackingRefBased/>
  <w15:docId w15:val="{56326F28-267E-4098-BFC2-2BCB7197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B2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3224E"/>
  </w:style>
  <w:style w:type="character" w:customStyle="1" w:styleId="product-banner-author-name">
    <w:name w:val="product-banner-author-name"/>
    <w:basedOn w:val="DefaultParagraphFont"/>
    <w:rsid w:val="00FE2939"/>
  </w:style>
  <w:style w:type="paragraph" w:styleId="Header">
    <w:name w:val="header"/>
    <w:basedOn w:val="Normal"/>
    <w:link w:val="HeaderChar"/>
    <w:uiPriority w:val="99"/>
    <w:unhideWhenUsed/>
    <w:rsid w:val="00491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0A"/>
  </w:style>
  <w:style w:type="paragraph" w:styleId="Footer">
    <w:name w:val="footer"/>
    <w:basedOn w:val="Normal"/>
    <w:link w:val="FooterChar"/>
    <w:uiPriority w:val="99"/>
    <w:unhideWhenUsed/>
    <w:rsid w:val="00491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23/A:10145486119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102/0034654305900327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Bailey</dc:creator>
  <cp:keywords/>
  <dc:description/>
  <cp:lastModifiedBy>Ryan Damerow</cp:lastModifiedBy>
  <cp:revision>3</cp:revision>
  <dcterms:created xsi:type="dcterms:W3CDTF">2024-03-04T23:05:00Z</dcterms:created>
  <dcterms:modified xsi:type="dcterms:W3CDTF">2024-04-01T18:23:00Z</dcterms:modified>
</cp:coreProperties>
</file>