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CDBD" w14:textId="77777777" w:rsidR="003D700E" w:rsidRPr="000927C3" w:rsidRDefault="003D700E" w:rsidP="000927C3">
      <w:pPr>
        <w:autoSpaceDE w:val="0"/>
        <w:autoSpaceDN w:val="0"/>
        <w:adjustRightInd w:val="0"/>
        <w:contextualSpacing/>
        <w:jc w:val="center"/>
        <w:rPr>
          <w:b/>
          <w:u w:val="single"/>
        </w:rPr>
      </w:pPr>
      <w:r w:rsidRPr="000927C3">
        <w:rPr>
          <w:b/>
          <w:u w:val="single"/>
        </w:rPr>
        <w:t>INTEGRATED PERFORMANCE ASSESSMENT: SELECTED REFERENCES</w:t>
      </w:r>
    </w:p>
    <w:p w14:paraId="6F797219" w14:textId="019803D6" w:rsidR="003D700E" w:rsidRPr="000927C3" w:rsidRDefault="003D700E" w:rsidP="000927C3">
      <w:pPr>
        <w:autoSpaceDE w:val="0"/>
        <w:autoSpaceDN w:val="0"/>
        <w:adjustRightInd w:val="0"/>
        <w:contextualSpacing/>
        <w:jc w:val="center"/>
        <w:rPr>
          <w:b/>
          <w:bCs/>
        </w:rPr>
      </w:pPr>
      <w:r w:rsidRPr="000927C3">
        <w:rPr>
          <w:b/>
          <w:bCs/>
        </w:rPr>
        <w:t xml:space="preserve">(Last updated </w:t>
      </w:r>
      <w:r w:rsidR="00E26DAB">
        <w:rPr>
          <w:b/>
          <w:bCs/>
        </w:rPr>
        <w:t>9</w:t>
      </w:r>
      <w:r w:rsidR="00B116B5" w:rsidRPr="000927C3">
        <w:rPr>
          <w:b/>
          <w:bCs/>
        </w:rPr>
        <w:t xml:space="preserve"> March</w:t>
      </w:r>
      <w:r w:rsidR="008C0B06" w:rsidRPr="000927C3">
        <w:rPr>
          <w:b/>
          <w:bCs/>
        </w:rPr>
        <w:t xml:space="preserve"> 202</w:t>
      </w:r>
      <w:r w:rsidR="00E26DAB">
        <w:rPr>
          <w:b/>
          <w:bCs/>
        </w:rPr>
        <w:t>5</w:t>
      </w:r>
      <w:r w:rsidR="008C0B06" w:rsidRPr="000927C3">
        <w:rPr>
          <w:b/>
          <w:bCs/>
        </w:rPr>
        <w:t>)</w:t>
      </w:r>
    </w:p>
    <w:p w14:paraId="211B09E5" w14:textId="77777777" w:rsidR="003D700E" w:rsidRPr="000927C3" w:rsidRDefault="003D700E" w:rsidP="000927C3">
      <w:pPr>
        <w:autoSpaceDE w:val="0"/>
        <w:autoSpaceDN w:val="0"/>
        <w:adjustRightInd w:val="0"/>
        <w:contextualSpacing/>
      </w:pPr>
    </w:p>
    <w:p w14:paraId="7DDE604F" w14:textId="345B2FC3" w:rsidR="00151A30" w:rsidRDefault="004E4BF2" w:rsidP="00151A30">
      <w:r w:rsidRPr="000927C3">
        <w:rPr>
          <w:rFonts w:eastAsia="Times New Roman"/>
        </w:rPr>
        <w:t xml:space="preserve">Abraham, L. B., &amp; Williams, L. (2009). The discussion forum as a component of a technology-enhanced Integrated Performance Assessment. </w:t>
      </w:r>
      <w:r w:rsidR="009C007B" w:rsidRPr="000927C3">
        <w:rPr>
          <w:rFonts w:eastAsia="Times New Roman"/>
        </w:rPr>
        <w:t xml:space="preserve">In L. B. Abraham &amp; L. Williams (Eds.), </w:t>
      </w:r>
      <w:r w:rsidRPr="000927C3">
        <w:rPr>
          <w:rFonts w:eastAsia="Times New Roman"/>
          <w:i/>
          <w:iCs/>
        </w:rPr>
        <w:t xml:space="preserve">Electronic </w:t>
      </w:r>
      <w:r w:rsidR="009C007B" w:rsidRPr="000927C3">
        <w:rPr>
          <w:rFonts w:eastAsia="Times New Roman"/>
          <w:i/>
          <w:iCs/>
        </w:rPr>
        <w:t>d</w:t>
      </w:r>
      <w:r w:rsidRPr="000927C3">
        <w:rPr>
          <w:rFonts w:eastAsia="Times New Roman"/>
          <w:i/>
          <w:iCs/>
        </w:rPr>
        <w:t xml:space="preserve">iscourse in </w:t>
      </w:r>
      <w:r w:rsidR="009C007B" w:rsidRPr="000927C3">
        <w:rPr>
          <w:rFonts w:eastAsia="Times New Roman"/>
          <w:i/>
          <w:iCs/>
        </w:rPr>
        <w:t>l</w:t>
      </w:r>
      <w:r w:rsidRPr="000927C3">
        <w:rPr>
          <w:rFonts w:eastAsia="Times New Roman"/>
          <w:i/>
          <w:iCs/>
        </w:rPr>
        <w:t xml:space="preserve">anguage </w:t>
      </w:r>
      <w:r w:rsidR="009C007B" w:rsidRPr="000927C3">
        <w:rPr>
          <w:rFonts w:eastAsia="Times New Roman"/>
          <w:i/>
          <w:iCs/>
        </w:rPr>
        <w:t>l</w:t>
      </w:r>
      <w:r w:rsidRPr="000927C3">
        <w:rPr>
          <w:rFonts w:eastAsia="Times New Roman"/>
          <w:i/>
          <w:iCs/>
        </w:rPr>
        <w:t xml:space="preserve">earning and </w:t>
      </w:r>
      <w:r w:rsidR="009C007B" w:rsidRPr="000927C3">
        <w:rPr>
          <w:rFonts w:eastAsia="Times New Roman"/>
          <w:i/>
          <w:iCs/>
        </w:rPr>
        <w:t>l</w:t>
      </w:r>
      <w:r w:rsidRPr="000927C3">
        <w:rPr>
          <w:rFonts w:eastAsia="Times New Roman"/>
          <w:i/>
          <w:iCs/>
        </w:rPr>
        <w:t xml:space="preserve">anguage </w:t>
      </w:r>
      <w:r w:rsidR="009C007B" w:rsidRPr="000927C3">
        <w:rPr>
          <w:rFonts w:eastAsia="Times New Roman"/>
          <w:i/>
          <w:iCs/>
        </w:rPr>
        <w:t>t</w:t>
      </w:r>
      <w:r w:rsidRPr="000927C3">
        <w:rPr>
          <w:rFonts w:eastAsia="Times New Roman"/>
          <w:i/>
          <w:iCs/>
        </w:rPr>
        <w:t>eaching</w:t>
      </w:r>
      <w:r w:rsidR="009C007B" w:rsidRPr="000927C3">
        <w:rPr>
          <w:rFonts w:eastAsia="Times New Roman"/>
        </w:rPr>
        <w:t xml:space="preserve"> (pp.</w:t>
      </w:r>
      <w:r w:rsidRPr="000927C3">
        <w:rPr>
          <w:rFonts w:eastAsia="Times New Roman"/>
        </w:rPr>
        <w:t xml:space="preserve"> 319</w:t>
      </w:r>
      <w:r w:rsidR="009C007B" w:rsidRPr="000927C3">
        <w:rPr>
          <w:rFonts w:eastAsia="Times New Roman"/>
        </w:rPr>
        <w:t>-343)</w:t>
      </w:r>
      <w:r w:rsidRPr="000927C3">
        <w:rPr>
          <w:rFonts w:eastAsia="Times New Roman"/>
        </w:rPr>
        <w:t>.</w:t>
      </w:r>
      <w:r w:rsidR="009C007B" w:rsidRPr="000927C3">
        <w:rPr>
          <w:rFonts w:eastAsia="Times New Roman"/>
        </w:rPr>
        <w:t xml:space="preserve"> John Benjamins. </w:t>
      </w:r>
      <w:hyperlink r:id="rId6" w:tgtFrame="_blank" w:history="1">
        <w:r w:rsidR="00151A30" w:rsidRPr="00151A30">
          <w:rPr>
            <w:rStyle w:val="Hyperlink"/>
          </w:rPr>
          <w:t>https://doi.org/10.1075/lllt.25.21abr</w:t>
        </w:r>
      </w:hyperlink>
    </w:p>
    <w:p w14:paraId="43307090" w14:textId="77777777" w:rsidR="00151A30" w:rsidRDefault="00151A30" w:rsidP="000927C3">
      <w:pPr>
        <w:autoSpaceDE w:val="0"/>
        <w:autoSpaceDN w:val="0"/>
        <w:adjustRightInd w:val="0"/>
        <w:contextualSpacing/>
      </w:pPr>
    </w:p>
    <w:p w14:paraId="6A2D5667" w14:textId="5721B52D" w:rsidR="000B2A13" w:rsidRPr="000927C3" w:rsidRDefault="000B2A13" w:rsidP="000927C3">
      <w:pPr>
        <w:autoSpaceDE w:val="0"/>
        <w:autoSpaceDN w:val="0"/>
        <w:adjustRightInd w:val="0"/>
        <w:contextualSpacing/>
      </w:pPr>
      <w:r w:rsidRPr="000927C3">
        <w:t xml:space="preserve">American Council on the Teaching of Foreign Languages. (2003). </w:t>
      </w:r>
      <w:r w:rsidRPr="000927C3">
        <w:rPr>
          <w:i/>
          <w:iCs/>
        </w:rPr>
        <w:t>ACTFL integrated performance assessment</w:t>
      </w:r>
      <w:r w:rsidRPr="000927C3">
        <w:t>. ACTFL.</w:t>
      </w:r>
    </w:p>
    <w:p w14:paraId="20CE0F41" w14:textId="77777777" w:rsidR="000B2A13" w:rsidRPr="000927C3" w:rsidRDefault="000B2A13" w:rsidP="000927C3">
      <w:pPr>
        <w:autoSpaceDE w:val="0"/>
        <w:autoSpaceDN w:val="0"/>
        <w:adjustRightInd w:val="0"/>
        <w:contextualSpacing/>
      </w:pPr>
    </w:p>
    <w:p w14:paraId="436CB336" w14:textId="77777777" w:rsidR="00151A30" w:rsidRPr="00151A30" w:rsidRDefault="003D700E" w:rsidP="00151A30">
      <w:pPr>
        <w:autoSpaceDE w:val="0"/>
        <w:autoSpaceDN w:val="0"/>
        <w:adjustRightInd w:val="0"/>
        <w:contextualSpacing/>
      </w:pPr>
      <w:r w:rsidRPr="000927C3">
        <w:t xml:space="preserve">Adair‐Hauck, B., Glisan, E. W., Koda, K., Swender, E. B., &amp; Sandrock, P. (2006). The Integrated Performance Assessment (IPA): Connecting assessment to instruction and learning. </w:t>
      </w:r>
      <w:r w:rsidRPr="000927C3">
        <w:rPr>
          <w:i/>
          <w:iCs/>
        </w:rPr>
        <w:t>Foreign Language Annals</w:t>
      </w:r>
      <w:r w:rsidRPr="000927C3">
        <w:t xml:space="preserve">, </w:t>
      </w:r>
      <w:r w:rsidRPr="000927C3">
        <w:rPr>
          <w:i/>
          <w:iCs/>
        </w:rPr>
        <w:t>39</w:t>
      </w:r>
      <w:r w:rsidRPr="000927C3">
        <w:t>(3), 359-382.</w:t>
      </w:r>
      <w:r w:rsidR="00151A30">
        <w:t xml:space="preserve"> </w:t>
      </w:r>
      <w:hyperlink r:id="rId7" w:history="1">
        <w:r w:rsidR="00151A30" w:rsidRPr="00151A30">
          <w:rPr>
            <w:rStyle w:val="Hyperlink"/>
          </w:rPr>
          <w:t>https://doi.org/10.1111/j.1944-9720.2006.tb02894.x</w:t>
        </w:r>
      </w:hyperlink>
    </w:p>
    <w:p w14:paraId="224FE42C" w14:textId="77777777" w:rsidR="003D700E" w:rsidRPr="000927C3" w:rsidRDefault="003D700E" w:rsidP="000927C3">
      <w:pPr>
        <w:rPr>
          <w:rFonts w:eastAsia="Times New Roman"/>
        </w:rPr>
      </w:pPr>
    </w:p>
    <w:p w14:paraId="6DF13363" w14:textId="03E84A0A" w:rsidR="003D700E" w:rsidRPr="000927C3" w:rsidRDefault="003D700E" w:rsidP="000927C3">
      <w:pPr>
        <w:autoSpaceDE w:val="0"/>
        <w:autoSpaceDN w:val="0"/>
        <w:adjustRightInd w:val="0"/>
        <w:contextualSpacing/>
      </w:pPr>
      <w:r w:rsidRPr="000927C3">
        <w:t xml:space="preserve">Adair-Hauck, B., Glisan, E.W., &amp; Troyan, F. J. (2013). </w:t>
      </w:r>
      <w:r w:rsidRPr="000927C3">
        <w:rPr>
          <w:i/>
        </w:rPr>
        <w:t>Implementing integrated performance assessment</w:t>
      </w:r>
      <w:r w:rsidRPr="000927C3">
        <w:t>. ACTFL.</w:t>
      </w:r>
    </w:p>
    <w:p w14:paraId="594D6123" w14:textId="77777777" w:rsidR="003D700E" w:rsidRPr="000927C3" w:rsidRDefault="003D700E" w:rsidP="000927C3">
      <w:pPr>
        <w:rPr>
          <w:rFonts w:eastAsia="Times New Roman"/>
        </w:rPr>
      </w:pPr>
    </w:p>
    <w:p w14:paraId="08946571" w14:textId="71274352" w:rsidR="003D700E" w:rsidRPr="000927C3" w:rsidRDefault="003D700E" w:rsidP="000927C3">
      <w:pPr>
        <w:rPr>
          <w:rFonts w:eastAsia="Times New Roman"/>
        </w:rPr>
      </w:pPr>
      <w:r w:rsidRPr="000927C3">
        <w:rPr>
          <w:rFonts w:eastAsia="Times New Roman"/>
        </w:rPr>
        <w:t xml:space="preserve">Adair‐Hauck, B., &amp; Troyan, F. J. (2013). A descriptive and co‐constructive approach to integrated performance assessment feedback. </w:t>
      </w:r>
      <w:r w:rsidRPr="000927C3">
        <w:rPr>
          <w:rFonts w:eastAsia="Times New Roman"/>
          <w:i/>
          <w:iCs/>
        </w:rPr>
        <w:t>Foreign Language Annals</w:t>
      </w:r>
      <w:r w:rsidRPr="000927C3">
        <w:rPr>
          <w:rFonts w:eastAsia="Times New Roman"/>
        </w:rPr>
        <w:t xml:space="preserve">, </w:t>
      </w:r>
      <w:r w:rsidRPr="000927C3">
        <w:rPr>
          <w:rFonts w:eastAsia="Times New Roman"/>
          <w:i/>
          <w:iCs/>
        </w:rPr>
        <w:t>46</w:t>
      </w:r>
      <w:r w:rsidRPr="000927C3">
        <w:rPr>
          <w:rFonts w:eastAsia="Times New Roman"/>
        </w:rPr>
        <w:t>(1), 23-44.</w:t>
      </w:r>
    </w:p>
    <w:p w14:paraId="0A4E959B" w14:textId="03CE15AF" w:rsidR="00BA2F5B" w:rsidRPr="000927C3" w:rsidRDefault="00BA2F5B" w:rsidP="000927C3">
      <w:pPr>
        <w:rPr>
          <w:rFonts w:eastAsia="Times New Roman"/>
        </w:rPr>
      </w:pPr>
    </w:p>
    <w:p w14:paraId="56A643E0" w14:textId="27BF17E7" w:rsidR="00F82B27" w:rsidRPr="000927C3" w:rsidRDefault="00F82B27" w:rsidP="000927C3">
      <w:r w:rsidRPr="000927C3">
        <w:t xml:space="preserve">Allen, L. Q. (2009). Designing curricula for student language performance. </w:t>
      </w:r>
      <w:r w:rsidRPr="000927C3">
        <w:rPr>
          <w:i/>
          <w:iCs/>
        </w:rPr>
        <w:t>The French Review</w:t>
      </w:r>
      <w:r w:rsidRPr="000927C3">
        <w:t xml:space="preserve">, </w:t>
      </w:r>
      <w:r w:rsidRPr="000927C3">
        <w:rPr>
          <w:i/>
          <w:iCs/>
        </w:rPr>
        <w:t>82</w:t>
      </w:r>
      <w:r w:rsidRPr="000927C3">
        <w:t>(6), 1281-1298.</w:t>
      </w:r>
    </w:p>
    <w:p w14:paraId="1B39F8DA" w14:textId="77777777" w:rsidR="00F82B27" w:rsidRPr="000927C3" w:rsidRDefault="00F82B27" w:rsidP="000927C3">
      <w:pPr>
        <w:rPr>
          <w:rFonts w:eastAsia="Times New Roman"/>
        </w:rPr>
      </w:pPr>
    </w:p>
    <w:p w14:paraId="3FE3608F" w14:textId="77777777" w:rsidR="00BA2F5B" w:rsidRPr="000927C3" w:rsidRDefault="00BA2F5B" w:rsidP="000927C3">
      <w:pPr>
        <w:rPr>
          <w:rFonts w:eastAsia="Times New Roman"/>
        </w:rPr>
      </w:pPr>
      <w:proofErr w:type="spellStart"/>
      <w:r w:rsidRPr="000927C3">
        <w:rPr>
          <w:rFonts w:eastAsia="Times New Roman"/>
        </w:rPr>
        <w:t>Altstaedter</w:t>
      </w:r>
      <w:proofErr w:type="spellEnd"/>
      <w:r w:rsidRPr="000927C3">
        <w:rPr>
          <w:rFonts w:eastAsia="Times New Roman"/>
        </w:rPr>
        <w:t xml:space="preserve">, L. L., &amp; Krosl, M. (2018). Perceptions of Integrated Performance Assessments among beginning Spanish college students: A preliminary study. </w:t>
      </w:r>
      <w:r w:rsidRPr="000927C3">
        <w:rPr>
          <w:rFonts w:eastAsia="Times New Roman"/>
          <w:i/>
          <w:iCs/>
        </w:rPr>
        <w:t>Journal of Foreign Language Teaching and Applied Linguistics</w:t>
      </w:r>
      <w:r w:rsidRPr="000927C3">
        <w:rPr>
          <w:rFonts w:eastAsia="Times New Roman"/>
        </w:rPr>
        <w:t xml:space="preserve">, </w:t>
      </w:r>
      <w:r w:rsidRPr="000927C3">
        <w:rPr>
          <w:rFonts w:eastAsia="Times New Roman"/>
          <w:i/>
          <w:iCs/>
        </w:rPr>
        <w:t>5</w:t>
      </w:r>
      <w:r w:rsidRPr="000927C3">
        <w:rPr>
          <w:rFonts w:eastAsia="Times New Roman"/>
        </w:rPr>
        <w:t>(2), 99-114.</w:t>
      </w:r>
    </w:p>
    <w:p w14:paraId="40045ED7" w14:textId="074137CF" w:rsidR="003D700E" w:rsidRPr="000927C3" w:rsidRDefault="003D700E" w:rsidP="000927C3">
      <w:pPr>
        <w:rPr>
          <w:rFonts w:eastAsia="Times New Roman"/>
        </w:rPr>
      </w:pPr>
    </w:p>
    <w:p w14:paraId="2C377616" w14:textId="77777777" w:rsidR="00151A30" w:rsidRPr="00151A30" w:rsidRDefault="00AE249D" w:rsidP="00151A30">
      <w:r w:rsidRPr="000927C3">
        <w:t xml:space="preserve">Bachman, L. F. (2002). Alternative interpretations of alternative assessments: Some validity issues in educational performance assessments. </w:t>
      </w:r>
      <w:r w:rsidRPr="000927C3">
        <w:rPr>
          <w:i/>
          <w:iCs/>
        </w:rPr>
        <w:t>Educational Measurement: Issues and Practice</w:t>
      </w:r>
      <w:r w:rsidRPr="000927C3">
        <w:t xml:space="preserve">, </w:t>
      </w:r>
      <w:r w:rsidRPr="000927C3">
        <w:rPr>
          <w:i/>
          <w:iCs/>
        </w:rPr>
        <w:t>21</w:t>
      </w:r>
      <w:r w:rsidRPr="000927C3">
        <w:t>(3), 5-18.</w:t>
      </w:r>
      <w:r w:rsidR="00151A30">
        <w:t xml:space="preserve"> </w:t>
      </w:r>
      <w:hyperlink r:id="rId8" w:history="1">
        <w:r w:rsidR="00151A30" w:rsidRPr="00151A30">
          <w:rPr>
            <w:rStyle w:val="Hyperlink"/>
          </w:rPr>
          <w:t>https://doi.org/10.1111/j.1745-3992.2002.tb00095.x</w:t>
        </w:r>
      </w:hyperlink>
    </w:p>
    <w:p w14:paraId="15BD0CF7" w14:textId="77777777" w:rsidR="00E824CF" w:rsidRDefault="00E824CF" w:rsidP="000927C3">
      <w:bookmarkStart w:id="0" w:name="_Hlk192404573"/>
    </w:p>
    <w:p w14:paraId="78198193" w14:textId="680ECBB2" w:rsidR="00E824CF" w:rsidRPr="000927C3" w:rsidRDefault="00E824CF" w:rsidP="000927C3">
      <w:r w:rsidRPr="00E824CF">
        <w:t xml:space="preserve">Cheatham, R. (2008). Connecting a standards-based curriculum with student performance and assessment. </w:t>
      </w:r>
      <w:r>
        <w:t xml:space="preserve">In C. M. Cherry &amp; C. Wilkerson (Eds.), </w:t>
      </w:r>
      <w:r>
        <w:rPr>
          <w:i/>
          <w:iCs/>
        </w:rPr>
        <w:t>Dimensions 2008: L</w:t>
      </w:r>
      <w:r w:rsidRPr="00E824CF">
        <w:rPr>
          <w:i/>
          <w:iCs/>
        </w:rPr>
        <w:t xml:space="preserve">anguages for the </w:t>
      </w:r>
      <w:r>
        <w:rPr>
          <w:i/>
          <w:iCs/>
        </w:rPr>
        <w:t>n</w:t>
      </w:r>
      <w:r w:rsidRPr="00E824CF">
        <w:rPr>
          <w:i/>
          <w:iCs/>
        </w:rPr>
        <w:t>ation</w:t>
      </w:r>
      <w:r>
        <w:rPr>
          <w:i/>
          <w:iCs/>
        </w:rPr>
        <w:t xml:space="preserve"> </w:t>
      </w:r>
      <w:r w:rsidRPr="00E824CF">
        <w:t>(pp.</w:t>
      </w:r>
      <w:r w:rsidRPr="00E824CF">
        <w:t xml:space="preserve"> 63</w:t>
      </w:r>
      <w:r>
        <w:t>-80)</w:t>
      </w:r>
      <w:r w:rsidRPr="00E824CF">
        <w:t>.</w:t>
      </w:r>
      <w:r>
        <w:t xml:space="preserve"> Southern Conference on Language Teaching.</w:t>
      </w:r>
    </w:p>
    <w:bookmarkEnd w:id="0"/>
    <w:p w14:paraId="7BF1A587" w14:textId="77777777" w:rsidR="00640E7D" w:rsidRDefault="00640E7D" w:rsidP="000927C3">
      <w:pPr>
        <w:rPr>
          <w:rFonts w:eastAsia="Times New Roman"/>
        </w:rPr>
      </w:pPr>
    </w:p>
    <w:p w14:paraId="7B624EBD" w14:textId="711C4966" w:rsidR="009B4B28" w:rsidRPr="000927C3" w:rsidRDefault="009B4B28" w:rsidP="000927C3">
      <w:pPr>
        <w:rPr>
          <w:rFonts w:eastAsia="Times New Roman"/>
        </w:rPr>
      </w:pPr>
      <w:r w:rsidRPr="000927C3">
        <w:rPr>
          <w:rFonts w:eastAsia="Times New Roman"/>
        </w:rPr>
        <w:t xml:space="preserve">Darhower, M., &amp; Smith-Sherwood, D. (2021). Bridging the language-literature divide via Integrated Performance Assessments in an introductory Hispanic literature course. </w:t>
      </w:r>
      <w:r w:rsidRPr="000927C3">
        <w:rPr>
          <w:rFonts w:eastAsia="Times New Roman"/>
          <w:i/>
          <w:iCs/>
        </w:rPr>
        <w:t>Hispania</w:t>
      </w:r>
      <w:r w:rsidRPr="000927C3">
        <w:rPr>
          <w:rFonts w:eastAsia="Times New Roman"/>
        </w:rPr>
        <w:t xml:space="preserve">, </w:t>
      </w:r>
      <w:r w:rsidRPr="000927C3">
        <w:rPr>
          <w:rFonts w:eastAsia="Times New Roman"/>
          <w:i/>
          <w:iCs/>
        </w:rPr>
        <w:t>104</w:t>
      </w:r>
      <w:r w:rsidRPr="000927C3">
        <w:rPr>
          <w:rFonts w:eastAsia="Times New Roman"/>
        </w:rPr>
        <w:t>(3), 395-413.</w:t>
      </w:r>
      <w:r w:rsidR="00D95F0A">
        <w:rPr>
          <w:rFonts w:eastAsia="Times New Roman"/>
        </w:rPr>
        <w:t xml:space="preserve"> </w:t>
      </w:r>
      <w:hyperlink r:id="rId9" w:history="1">
        <w:r w:rsidR="00D95F0A" w:rsidRPr="00D95F0A">
          <w:rPr>
            <w:rStyle w:val="Hyperlink"/>
            <w:rFonts w:eastAsia="Times New Roman"/>
          </w:rPr>
          <w:t>https://dx.doi.org/10.1353/hpn.2021.0093</w:t>
        </w:r>
      </w:hyperlink>
      <w:r w:rsidR="00D95F0A" w:rsidRPr="00D95F0A">
        <w:rPr>
          <w:rFonts w:eastAsia="Times New Roman"/>
        </w:rPr>
        <w:t>.</w:t>
      </w:r>
    </w:p>
    <w:p w14:paraId="6C06AB6E" w14:textId="77777777" w:rsidR="009B4B28" w:rsidRPr="000927C3" w:rsidRDefault="009B4B28" w:rsidP="000927C3">
      <w:pPr>
        <w:rPr>
          <w:rFonts w:eastAsia="Times New Roman"/>
        </w:rPr>
      </w:pPr>
    </w:p>
    <w:p w14:paraId="30375F30" w14:textId="6BB0EB10" w:rsidR="000F153D" w:rsidRPr="000F153D" w:rsidRDefault="003D700E" w:rsidP="000F153D">
      <w:r w:rsidRPr="000927C3">
        <w:t xml:space="preserve">Davin, K. J. (2013).  Integration of dynamic assessment and instructional conversations to promote development and improve assessment in the language classroom. </w:t>
      </w:r>
      <w:r w:rsidRPr="000927C3">
        <w:rPr>
          <w:i/>
        </w:rPr>
        <w:t>Language Teaching Research 17</w:t>
      </w:r>
      <w:r w:rsidRPr="000927C3">
        <w:t xml:space="preserve"> (3), 303-322.</w:t>
      </w:r>
      <w:r w:rsidR="000F153D">
        <w:t xml:space="preserve"> </w:t>
      </w:r>
      <w:hyperlink r:id="rId10" w:history="1">
        <w:r w:rsidR="000F153D" w:rsidRPr="000F153D">
          <w:rPr>
            <w:rStyle w:val="Hyperlink"/>
          </w:rPr>
          <w:t>https://doi.org/10.1177/1362168813482934</w:t>
        </w:r>
      </w:hyperlink>
    </w:p>
    <w:p w14:paraId="02B74031" w14:textId="574B8AD3" w:rsidR="003D700E" w:rsidRPr="000927C3" w:rsidRDefault="003D700E" w:rsidP="000927C3"/>
    <w:p w14:paraId="44C774D4" w14:textId="77777777" w:rsidR="003D700E" w:rsidRPr="000927C3" w:rsidRDefault="003D700E" w:rsidP="000927C3">
      <w:pPr>
        <w:rPr>
          <w:rFonts w:eastAsia="Times New Roman"/>
        </w:rPr>
      </w:pPr>
    </w:p>
    <w:p w14:paraId="3B1A9F3E" w14:textId="77777777" w:rsidR="00B03F54" w:rsidRPr="00B03F54" w:rsidRDefault="003D700E" w:rsidP="00B03F54">
      <w:pPr>
        <w:rPr>
          <w:rFonts w:eastAsia="Times New Roman"/>
        </w:rPr>
      </w:pPr>
      <w:r w:rsidRPr="000927C3">
        <w:rPr>
          <w:rFonts w:eastAsia="Times New Roman"/>
        </w:rPr>
        <w:lastRenderedPageBreak/>
        <w:t xml:space="preserve">Davin, K., Troyan, F. J., Donato, R., &amp; Hellman, A. (2011). Research on the Integrated Performance Assessment in an early foreign language learning program. </w:t>
      </w:r>
      <w:r w:rsidRPr="000927C3">
        <w:rPr>
          <w:rFonts w:eastAsia="Times New Roman"/>
          <w:i/>
          <w:iCs/>
        </w:rPr>
        <w:t>Foreign Language Annals</w:t>
      </w:r>
      <w:r w:rsidRPr="000927C3">
        <w:rPr>
          <w:rFonts w:eastAsia="Times New Roman"/>
        </w:rPr>
        <w:t xml:space="preserve">, </w:t>
      </w:r>
      <w:r w:rsidRPr="000927C3">
        <w:rPr>
          <w:rFonts w:eastAsia="Times New Roman"/>
          <w:i/>
          <w:iCs/>
        </w:rPr>
        <w:t>44</w:t>
      </w:r>
      <w:r w:rsidRPr="000927C3">
        <w:rPr>
          <w:rFonts w:eastAsia="Times New Roman"/>
        </w:rPr>
        <w:t>(4), 605-625.</w:t>
      </w:r>
      <w:r w:rsidR="00B03F54">
        <w:rPr>
          <w:rFonts w:eastAsia="Times New Roman"/>
        </w:rPr>
        <w:t xml:space="preserve"> </w:t>
      </w:r>
      <w:hyperlink r:id="rId11" w:history="1">
        <w:r w:rsidR="00B03F54" w:rsidRPr="00B03F54">
          <w:rPr>
            <w:rStyle w:val="Hyperlink"/>
            <w:rFonts w:eastAsia="Times New Roman"/>
          </w:rPr>
          <w:t>https://doi.org/10.1111/j.1944-9720.2011.01153.x</w:t>
        </w:r>
      </w:hyperlink>
    </w:p>
    <w:p w14:paraId="15CCA3DC" w14:textId="645212F7" w:rsidR="003D700E" w:rsidRPr="000927C3" w:rsidRDefault="003D700E" w:rsidP="000927C3">
      <w:pPr>
        <w:rPr>
          <w:rFonts w:eastAsia="Times New Roman"/>
        </w:rPr>
      </w:pPr>
    </w:p>
    <w:p w14:paraId="0FA2D2F8" w14:textId="1298B897" w:rsidR="00FF302D" w:rsidRDefault="00FF302D" w:rsidP="000927C3">
      <w:pPr>
        <w:rPr>
          <w:rFonts w:eastAsia="Times New Roman"/>
        </w:rPr>
      </w:pPr>
      <w:r w:rsidRPr="000927C3">
        <w:rPr>
          <w:rFonts w:eastAsia="Times New Roman"/>
        </w:rPr>
        <w:t xml:space="preserve">Diaz Maggioli, G. (2020). Integrated Performance Assessment. In S. Hidri (Ed.), </w:t>
      </w:r>
      <w:r w:rsidRPr="000927C3">
        <w:rPr>
          <w:rFonts w:eastAsia="Times New Roman"/>
          <w:i/>
          <w:iCs/>
        </w:rPr>
        <w:t>Changing language assessment</w:t>
      </w:r>
      <w:r w:rsidRPr="000927C3">
        <w:rPr>
          <w:rFonts w:eastAsia="Times New Roman"/>
        </w:rPr>
        <w:t xml:space="preserve"> (pp. 53-73). Palgrave Macmillan</w:t>
      </w:r>
      <w:r w:rsidR="005B50FA" w:rsidRPr="000927C3">
        <w:rPr>
          <w:rFonts w:eastAsia="Times New Roman"/>
        </w:rPr>
        <w:t>.</w:t>
      </w:r>
    </w:p>
    <w:p w14:paraId="764E4E93" w14:textId="77777777" w:rsidR="00B817D8" w:rsidRDefault="00B817D8" w:rsidP="000927C3">
      <w:pPr>
        <w:rPr>
          <w:rFonts w:eastAsia="Times New Roman"/>
        </w:rPr>
      </w:pPr>
    </w:p>
    <w:p w14:paraId="6828778C" w14:textId="6502DB1A" w:rsidR="00F5145E" w:rsidRPr="00F5145E" w:rsidRDefault="00F5145E" w:rsidP="00F5145E">
      <w:pPr>
        <w:rPr>
          <w:rFonts w:eastAsia="Times New Roman"/>
        </w:rPr>
      </w:pPr>
      <w:r w:rsidRPr="00F5145E">
        <w:rPr>
          <w:rFonts w:eastAsia="Times New Roman"/>
        </w:rPr>
        <w:t xml:space="preserve">Domínguez, C., &amp; Darhower, M. A. (2025). Spanish for </w:t>
      </w:r>
      <w:r>
        <w:rPr>
          <w:rFonts w:eastAsia="Times New Roman"/>
        </w:rPr>
        <w:t>s</w:t>
      </w:r>
      <w:r w:rsidRPr="00F5145E">
        <w:rPr>
          <w:rFonts w:eastAsia="Times New Roman"/>
        </w:rPr>
        <w:t xml:space="preserve">pecific </w:t>
      </w:r>
      <w:r>
        <w:rPr>
          <w:rFonts w:eastAsia="Times New Roman"/>
        </w:rPr>
        <w:t>p</w:t>
      </w:r>
      <w:r w:rsidRPr="00F5145E">
        <w:rPr>
          <w:rFonts w:eastAsia="Times New Roman"/>
        </w:rPr>
        <w:t xml:space="preserve">urposes: An Integrated Performance Assessment </w:t>
      </w:r>
      <w:r>
        <w:rPr>
          <w:rFonts w:eastAsia="Times New Roman"/>
        </w:rPr>
        <w:t>i</w:t>
      </w:r>
      <w:r w:rsidRPr="00F5145E">
        <w:rPr>
          <w:rFonts w:eastAsia="Times New Roman"/>
        </w:rPr>
        <w:t xml:space="preserve">nformed </w:t>
      </w:r>
      <w:r>
        <w:rPr>
          <w:rFonts w:eastAsia="Times New Roman"/>
        </w:rPr>
        <w:t>a</w:t>
      </w:r>
      <w:r w:rsidRPr="00F5145E">
        <w:rPr>
          <w:rFonts w:eastAsia="Times New Roman"/>
        </w:rPr>
        <w:t xml:space="preserve">pproach. </w:t>
      </w:r>
      <w:r w:rsidRPr="00F5145E">
        <w:rPr>
          <w:rFonts w:eastAsia="Times New Roman"/>
          <w:i/>
          <w:iCs/>
        </w:rPr>
        <w:t>Hispanic Studies Review</w:t>
      </w:r>
      <w:r w:rsidRPr="00F5145E">
        <w:rPr>
          <w:rFonts w:eastAsia="Times New Roman"/>
        </w:rPr>
        <w:t xml:space="preserve">, </w:t>
      </w:r>
      <w:r w:rsidRPr="00F5145E">
        <w:rPr>
          <w:rFonts w:eastAsia="Times New Roman"/>
          <w:i/>
          <w:iCs/>
        </w:rPr>
        <w:t>9</w:t>
      </w:r>
      <w:r w:rsidRPr="00F5145E">
        <w:rPr>
          <w:rFonts w:eastAsia="Times New Roman"/>
        </w:rPr>
        <w:t>(1).</w:t>
      </w:r>
      <w:r>
        <w:rPr>
          <w:rFonts w:eastAsia="Times New Roman"/>
        </w:rPr>
        <w:t xml:space="preserve"> </w:t>
      </w:r>
    </w:p>
    <w:p w14:paraId="37FDC730" w14:textId="77777777" w:rsidR="00F5145E" w:rsidRPr="000927C3" w:rsidRDefault="00F5145E" w:rsidP="000927C3">
      <w:pPr>
        <w:rPr>
          <w:rFonts w:eastAsia="Times New Roman"/>
        </w:rPr>
      </w:pPr>
    </w:p>
    <w:p w14:paraId="58096531" w14:textId="77777777" w:rsidR="00D16F16" w:rsidRPr="000927C3" w:rsidRDefault="00D16F16" w:rsidP="000927C3">
      <w:pPr>
        <w:rPr>
          <w:rFonts w:eastAsia="Times New Roman"/>
        </w:rPr>
      </w:pPr>
      <w:r w:rsidRPr="000927C3">
        <w:rPr>
          <w:rFonts w:eastAsia="Times New Roman"/>
        </w:rPr>
        <w:t xml:space="preserve">Eddy, J. (2019). Preparing teachers of critical languages for articulated performance assessment task design. </w:t>
      </w:r>
      <w:r w:rsidRPr="000927C3">
        <w:rPr>
          <w:rFonts w:eastAsia="Times New Roman"/>
          <w:i/>
          <w:iCs/>
        </w:rPr>
        <w:t>Journal of the National Council on Less Commonly Taught Languages</w:t>
      </w:r>
      <w:r w:rsidRPr="000927C3">
        <w:rPr>
          <w:rFonts w:eastAsia="Times New Roman"/>
        </w:rPr>
        <w:t xml:space="preserve">, </w:t>
      </w:r>
      <w:r w:rsidRPr="000927C3">
        <w:rPr>
          <w:rFonts w:eastAsia="Times New Roman"/>
          <w:i/>
          <w:iCs/>
        </w:rPr>
        <w:t>25</w:t>
      </w:r>
      <w:r w:rsidRPr="000927C3">
        <w:rPr>
          <w:rFonts w:eastAsia="Times New Roman"/>
        </w:rPr>
        <w:t>(1), 1-19.</w:t>
      </w:r>
    </w:p>
    <w:p w14:paraId="6DCC4DE5" w14:textId="77777777" w:rsidR="00737F53" w:rsidRPr="000927C3" w:rsidRDefault="00737F53" w:rsidP="000927C3">
      <w:pPr>
        <w:rPr>
          <w:rFonts w:eastAsia="Times New Roman"/>
        </w:rPr>
      </w:pPr>
    </w:p>
    <w:p w14:paraId="54EFA41F" w14:textId="77777777" w:rsidR="00CA08D6" w:rsidRPr="00CA08D6" w:rsidRDefault="00737F53" w:rsidP="00CA08D6">
      <w:pPr>
        <w:rPr>
          <w:rFonts w:eastAsia="Times New Roman"/>
        </w:rPr>
      </w:pPr>
      <w:r w:rsidRPr="000927C3">
        <w:rPr>
          <w:rFonts w:eastAsia="Times New Roman"/>
        </w:rPr>
        <w:t xml:space="preserve">Eddy, J., &amp; Bustamante, C. (2020). Closing the </w:t>
      </w:r>
      <w:proofErr w:type="gramStart"/>
      <w:r w:rsidRPr="000927C3">
        <w:rPr>
          <w:rFonts w:eastAsia="Times New Roman"/>
        </w:rPr>
        <w:t>pre</w:t>
      </w:r>
      <w:proofErr w:type="gramEnd"/>
      <w:r w:rsidRPr="000927C3">
        <w:rPr>
          <w:rFonts w:eastAsia="Times New Roman"/>
        </w:rPr>
        <w:t xml:space="preserve"> and in‐service gap: Perceptions and implementation of the IPA during student teaching. </w:t>
      </w:r>
      <w:r w:rsidRPr="000927C3">
        <w:rPr>
          <w:rFonts w:eastAsia="Times New Roman"/>
          <w:i/>
          <w:iCs/>
        </w:rPr>
        <w:t>Foreign Language Annals</w:t>
      </w:r>
      <w:r w:rsidRPr="000927C3">
        <w:rPr>
          <w:rFonts w:eastAsia="Times New Roman"/>
        </w:rPr>
        <w:t xml:space="preserve">, </w:t>
      </w:r>
      <w:r w:rsidRPr="000927C3">
        <w:rPr>
          <w:rFonts w:eastAsia="Times New Roman"/>
          <w:i/>
          <w:iCs/>
        </w:rPr>
        <w:t>53</w:t>
      </w:r>
      <w:r w:rsidRPr="000927C3">
        <w:rPr>
          <w:rFonts w:eastAsia="Times New Roman"/>
        </w:rPr>
        <w:t>(3), 634-656.</w:t>
      </w:r>
      <w:r w:rsidR="00CA08D6">
        <w:rPr>
          <w:rFonts w:eastAsia="Times New Roman"/>
        </w:rPr>
        <w:t xml:space="preserve"> </w:t>
      </w:r>
      <w:hyperlink r:id="rId12" w:history="1">
        <w:r w:rsidR="00CA08D6" w:rsidRPr="00CA08D6">
          <w:rPr>
            <w:rStyle w:val="Hyperlink"/>
            <w:rFonts w:eastAsia="Times New Roman"/>
          </w:rPr>
          <w:t>https://doi.org/10.1111/flan.12481</w:t>
        </w:r>
      </w:hyperlink>
    </w:p>
    <w:p w14:paraId="3BAE6CE4" w14:textId="73A831A2" w:rsidR="00FF302D" w:rsidRPr="000927C3" w:rsidRDefault="00FF302D" w:rsidP="000927C3">
      <w:pPr>
        <w:rPr>
          <w:rFonts w:eastAsia="Times New Roman"/>
        </w:rPr>
      </w:pPr>
    </w:p>
    <w:p w14:paraId="334CB10C" w14:textId="145CE11B" w:rsidR="00867838" w:rsidRDefault="00575D42" w:rsidP="000927C3">
      <w:pPr>
        <w:rPr>
          <w:rFonts w:eastAsia="Times New Roman"/>
        </w:rPr>
      </w:pPr>
      <w:r w:rsidRPr="000927C3">
        <w:rPr>
          <w:rFonts w:eastAsia="Times New Roman"/>
        </w:rPr>
        <w:t xml:space="preserve">Erickson, L., &amp; Spino, L. (2022). The Integrated Performance Assessment at the novice level: An experiment that works. </w:t>
      </w:r>
      <w:r w:rsidRPr="000927C3">
        <w:rPr>
          <w:rFonts w:eastAsia="Times New Roman"/>
          <w:i/>
          <w:iCs/>
        </w:rPr>
        <w:t>The French Review</w:t>
      </w:r>
      <w:r w:rsidRPr="000927C3">
        <w:rPr>
          <w:rFonts w:eastAsia="Times New Roman"/>
        </w:rPr>
        <w:t xml:space="preserve">, </w:t>
      </w:r>
      <w:r w:rsidRPr="000927C3">
        <w:rPr>
          <w:rFonts w:eastAsia="Times New Roman"/>
          <w:i/>
          <w:iCs/>
        </w:rPr>
        <w:t>96</w:t>
      </w:r>
      <w:r w:rsidRPr="000927C3">
        <w:rPr>
          <w:rFonts w:eastAsia="Times New Roman"/>
        </w:rPr>
        <w:t>(1), 69-91.</w:t>
      </w:r>
      <w:r w:rsidR="00867838">
        <w:rPr>
          <w:rFonts w:eastAsia="Times New Roman"/>
        </w:rPr>
        <w:t xml:space="preserve"> </w:t>
      </w:r>
      <w:hyperlink r:id="rId13" w:history="1">
        <w:r w:rsidR="00867838" w:rsidRPr="00867838">
          <w:rPr>
            <w:rStyle w:val="Hyperlink"/>
            <w:rFonts w:eastAsia="Times New Roman"/>
          </w:rPr>
          <w:t>https://dx.doi.org/10.1353/tfr.2022.0211</w:t>
        </w:r>
      </w:hyperlink>
      <w:r w:rsidR="00867838" w:rsidRPr="00867838">
        <w:rPr>
          <w:rFonts w:eastAsia="Times New Roman"/>
        </w:rPr>
        <w:t>.</w:t>
      </w:r>
    </w:p>
    <w:p w14:paraId="10B53FCA" w14:textId="77777777" w:rsidR="00867838" w:rsidRDefault="00867838" w:rsidP="000927C3">
      <w:pPr>
        <w:rPr>
          <w:rFonts w:eastAsia="Times New Roman"/>
        </w:rPr>
      </w:pPr>
    </w:p>
    <w:p w14:paraId="3AEC0EBE" w14:textId="2030F1B4" w:rsidR="00324AFF" w:rsidRPr="000927C3" w:rsidRDefault="00324AFF" w:rsidP="000927C3">
      <w:pPr>
        <w:rPr>
          <w:rFonts w:eastAsia="Times New Roman"/>
        </w:rPr>
      </w:pPr>
      <w:r w:rsidRPr="000927C3">
        <w:rPr>
          <w:rFonts w:eastAsia="Times New Roman"/>
        </w:rPr>
        <w:t xml:space="preserve">Gallardo, K. (2020). Competency-based assessment and the use of performance-based evaluation rubrics in higher education: Challenges towards the next decade. </w:t>
      </w:r>
      <w:r w:rsidRPr="000927C3">
        <w:rPr>
          <w:rFonts w:eastAsia="Times New Roman"/>
          <w:i/>
          <w:iCs/>
        </w:rPr>
        <w:t>Problems of Education in the 21st Century</w:t>
      </w:r>
      <w:r w:rsidRPr="000927C3">
        <w:rPr>
          <w:rFonts w:eastAsia="Times New Roman"/>
        </w:rPr>
        <w:t xml:space="preserve">, </w:t>
      </w:r>
      <w:r w:rsidRPr="000927C3">
        <w:rPr>
          <w:rFonts w:eastAsia="Times New Roman"/>
          <w:i/>
          <w:iCs/>
        </w:rPr>
        <w:t>78</w:t>
      </w:r>
      <w:r w:rsidRPr="000927C3">
        <w:rPr>
          <w:rFonts w:eastAsia="Times New Roman"/>
        </w:rPr>
        <w:t>(1), 61-79.</w:t>
      </w:r>
    </w:p>
    <w:p w14:paraId="61416128" w14:textId="77777777" w:rsidR="00324AFF" w:rsidRPr="000927C3" w:rsidRDefault="00324AFF" w:rsidP="000927C3">
      <w:pPr>
        <w:rPr>
          <w:rFonts w:eastAsia="Times New Roman"/>
        </w:rPr>
      </w:pPr>
    </w:p>
    <w:p w14:paraId="66B6F0A2" w14:textId="53455C92" w:rsidR="003D700E" w:rsidRPr="000927C3" w:rsidRDefault="003D700E" w:rsidP="000927C3">
      <w:pPr>
        <w:rPr>
          <w:rFonts w:eastAsia="Times New Roman"/>
        </w:rPr>
      </w:pPr>
      <w:r w:rsidRPr="000927C3">
        <w:rPr>
          <w:rFonts w:eastAsia="Times New Roman"/>
        </w:rPr>
        <w:t xml:space="preserve">Glisan, E. W., Adair-Hauck, B., Koda, K., Sandrock, S. P., &amp; Swender, E. (2003). </w:t>
      </w:r>
      <w:r w:rsidRPr="000927C3">
        <w:rPr>
          <w:rFonts w:eastAsia="Times New Roman"/>
          <w:i/>
        </w:rPr>
        <w:t>ACTFL integrated performance assessment</w:t>
      </w:r>
      <w:r w:rsidRPr="000927C3">
        <w:rPr>
          <w:rFonts w:eastAsia="Times New Roman"/>
        </w:rPr>
        <w:t xml:space="preserve">. </w:t>
      </w:r>
      <w:r w:rsidRPr="000927C3">
        <w:rPr>
          <w:rFonts w:eastAsia="Times New Roman"/>
          <w:iCs/>
        </w:rPr>
        <w:t>ACTFL</w:t>
      </w:r>
      <w:r w:rsidRPr="000927C3">
        <w:rPr>
          <w:rFonts w:eastAsia="Times New Roman"/>
        </w:rPr>
        <w:t>.</w:t>
      </w:r>
    </w:p>
    <w:p w14:paraId="133A5C28" w14:textId="77777777" w:rsidR="003D700E" w:rsidRPr="000927C3" w:rsidRDefault="003D700E" w:rsidP="000927C3">
      <w:pPr>
        <w:rPr>
          <w:rFonts w:eastAsia="Times New Roman"/>
        </w:rPr>
      </w:pPr>
    </w:p>
    <w:p w14:paraId="07CEC8EA" w14:textId="5EBA7AB8" w:rsidR="00DE2515" w:rsidRPr="00DE2515" w:rsidRDefault="003D700E" w:rsidP="00DE2515">
      <w:r w:rsidRPr="000927C3">
        <w:t xml:space="preserve">Glisan, E. W., Uribe, D., &amp; Adair-Hauck, B. (2007). Research on integrated performance assessment at the post-secondary level: Student performance across the modes of communication. </w:t>
      </w:r>
      <w:r w:rsidRPr="000927C3">
        <w:rPr>
          <w:i/>
        </w:rPr>
        <w:t>Canadian Modern Language Review, 64</w:t>
      </w:r>
      <w:r w:rsidRPr="000927C3">
        <w:t>, 39-68.</w:t>
      </w:r>
      <w:r w:rsidR="00DE2515">
        <w:t xml:space="preserve"> </w:t>
      </w:r>
      <w:hyperlink r:id="rId14" w:history="1">
        <w:r w:rsidR="00DE2515" w:rsidRPr="00DE2515">
          <w:rPr>
            <w:rStyle w:val="Hyperlink"/>
          </w:rPr>
          <w:t>https://doi.org/10.3138/cmlr.64.1.039</w:t>
        </w:r>
      </w:hyperlink>
    </w:p>
    <w:p w14:paraId="10899FFC" w14:textId="0ACB354E" w:rsidR="00BD5EB7" w:rsidRPr="000927C3" w:rsidRDefault="00BD5EB7" w:rsidP="000927C3"/>
    <w:p w14:paraId="202926CA" w14:textId="7E86D005" w:rsidR="00167D3B" w:rsidRPr="00167D3B" w:rsidRDefault="00167D3B" w:rsidP="000927C3">
      <w:pPr>
        <w:rPr>
          <w:rFonts w:eastAsia="Times New Roman"/>
        </w:rPr>
      </w:pPr>
      <w:r w:rsidRPr="00167D3B">
        <w:rPr>
          <w:rFonts w:eastAsia="Times New Roman"/>
        </w:rPr>
        <w:t>Goldberg, G. L., &amp; Michaels, H. (1995). Same-</w:t>
      </w:r>
      <w:r w:rsidRPr="000927C3">
        <w:rPr>
          <w:rFonts w:eastAsia="Times New Roman"/>
        </w:rPr>
        <w:t>s</w:t>
      </w:r>
      <w:r w:rsidRPr="00167D3B">
        <w:rPr>
          <w:rFonts w:eastAsia="Times New Roman"/>
        </w:rPr>
        <w:t xml:space="preserve">corer </w:t>
      </w:r>
      <w:r w:rsidRPr="000927C3">
        <w:rPr>
          <w:rFonts w:eastAsia="Times New Roman"/>
        </w:rPr>
        <w:t>j</w:t>
      </w:r>
      <w:r w:rsidRPr="00167D3B">
        <w:rPr>
          <w:rFonts w:eastAsia="Times New Roman"/>
        </w:rPr>
        <w:t xml:space="preserve">udgments on </w:t>
      </w:r>
      <w:r w:rsidRPr="000927C3">
        <w:rPr>
          <w:rFonts w:eastAsia="Times New Roman"/>
        </w:rPr>
        <w:t>m</w:t>
      </w:r>
      <w:r w:rsidRPr="00167D3B">
        <w:rPr>
          <w:rFonts w:eastAsia="Times New Roman"/>
        </w:rPr>
        <w:t xml:space="preserve">ultiple </w:t>
      </w:r>
      <w:r w:rsidRPr="000927C3">
        <w:rPr>
          <w:rFonts w:eastAsia="Times New Roman"/>
        </w:rPr>
        <w:t>c</w:t>
      </w:r>
      <w:r w:rsidRPr="00167D3B">
        <w:rPr>
          <w:rFonts w:eastAsia="Times New Roman"/>
        </w:rPr>
        <w:t xml:space="preserve">ontent </w:t>
      </w:r>
      <w:r w:rsidRPr="000927C3">
        <w:rPr>
          <w:rFonts w:eastAsia="Times New Roman"/>
        </w:rPr>
        <w:t>a</w:t>
      </w:r>
      <w:r w:rsidRPr="00167D3B">
        <w:rPr>
          <w:rFonts w:eastAsia="Times New Roman"/>
        </w:rPr>
        <w:t xml:space="preserve">rea </w:t>
      </w:r>
      <w:r w:rsidRPr="000927C3">
        <w:rPr>
          <w:rFonts w:eastAsia="Times New Roman"/>
        </w:rPr>
        <w:t>i</w:t>
      </w:r>
      <w:r w:rsidRPr="00167D3B">
        <w:rPr>
          <w:rFonts w:eastAsia="Times New Roman"/>
        </w:rPr>
        <w:t xml:space="preserve">tems in </w:t>
      </w:r>
      <w:r w:rsidRPr="000927C3">
        <w:rPr>
          <w:rFonts w:eastAsia="Times New Roman"/>
        </w:rPr>
        <w:t>i</w:t>
      </w:r>
      <w:r w:rsidRPr="00167D3B">
        <w:rPr>
          <w:rFonts w:eastAsia="Times New Roman"/>
        </w:rPr>
        <w:t xml:space="preserve">ntegrated </w:t>
      </w:r>
      <w:r w:rsidRPr="000927C3">
        <w:rPr>
          <w:rFonts w:eastAsia="Times New Roman"/>
        </w:rPr>
        <w:t>p</w:t>
      </w:r>
      <w:r w:rsidRPr="00167D3B">
        <w:rPr>
          <w:rFonts w:eastAsia="Times New Roman"/>
        </w:rPr>
        <w:t xml:space="preserve">erformance </w:t>
      </w:r>
      <w:r w:rsidRPr="000927C3">
        <w:rPr>
          <w:rFonts w:eastAsia="Times New Roman"/>
        </w:rPr>
        <w:t>a</w:t>
      </w:r>
      <w:r w:rsidRPr="00167D3B">
        <w:rPr>
          <w:rFonts w:eastAsia="Times New Roman"/>
        </w:rPr>
        <w:t>ssessment.</w:t>
      </w:r>
      <w:r w:rsidRPr="000927C3">
        <w:rPr>
          <w:rFonts w:eastAsia="Times New Roman"/>
        </w:rPr>
        <w:t xml:space="preserve"> ERIC Document # 390 917. https://files.eric.ed.gov/fulltext/ED390917.pdf</w:t>
      </w:r>
    </w:p>
    <w:p w14:paraId="3D237E31" w14:textId="77777777" w:rsidR="00167D3B" w:rsidRPr="000927C3" w:rsidRDefault="00167D3B" w:rsidP="000927C3"/>
    <w:p w14:paraId="237AC79A" w14:textId="3335DFB5" w:rsidR="00BD5EB7" w:rsidRPr="000927C3" w:rsidRDefault="00BD5EB7" w:rsidP="000927C3">
      <w:pPr>
        <w:rPr>
          <w:rFonts w:eastAsia="Times New Roman"/>
        </w:rPr>
      </w:pPr>
      <w:r w:rsidRPr="000927C3">
        <w:rPr>
          <w:rFonts w:eastAsia="Times New Roman"/>
        </w:rPr>
        <w:t xml:space="preserve">Harris, J., Grandgenett, N., &amp; Hofer, M. (2010, March). Testing a TPACK-based technology integration assessment rubric. In D. Gibson &amp; B. Dodge (Eds.), </w:t>
      </w:r>
      <w:r w:rsidRPr="000927C3">
        <w:rPr>
          <w:rFonts w:eastAsia="Times New Roman"/>
          <w:i/>
          <w:iCs/>
        </w:rPr>
        <w:t>Society for Information Technology &amp; Teacher Education International Conference</w:t>
      </w:r>
      <w:r w:rsidRPr="000927C3">
        <w:rPr>
          <w:rFonts w:eastAsia="Times New Roman"/>
        </w:rPr>
        <w:t xml:space="preserve"> (pp. 3833-3840). Association for the Advancement of Computing in Education (AACE).</w:t>
      </w:r>
    </w:p>
    <w:p w14:paraId="30C8B200" w14:textId="77777777" w:rsidR="00BD5EB7" w:rsidRPr="000927C3" w:rsidRDefault="00BD5EB7" w:rsidP="000927C3"/>
    <w:p w14:paraId="042624BA" w14:textId="5020162C" w:rsidR="00AB13DC" w:rsidRPr="000927C3" w:rsidRDefault="00AB13DC" w:rsidP="000927C3">
      <w:pPr>
        <w:rPr>
          <w:rFonts w:eastAsia="Times New Roman"/>
        </w:rPr>
      </w:pPr>
      <w:r w:rsidRPr="000927C3">
        <w:rPr>
          <w:rFonts w:eastAsia="Times New Roman"/>
        </w:rPr>
        <w:t xml:space="preserve">Huhn, C. (2018). Integration of the National Foreign Language Standards in post-secondary beginning Spanish textbooks. </w:t>
      </w:r>
      <w:r w:rsidRPr="000927C3">
        <w:rPr>
          <w:rFonts w:eastAsia="Times New Roman"/>
          <w:i/>
          <w:iCs/>
        </w:rPr>
        <w:t>The TFLTA Journal</w:t>
      </w:r>
      <w:r w:rsidRPr="000927C3">
        <w:rPr>
          <w:rFonts w:eastAsia="Times New Roman"/>
        </w:rPr>
        <w:t xml:space="preserve">, </w:t>
      </w:r>
      <w:r w:rsidRPr="000927C3">
        <w:rPr>
          <w:rFonts w:eastAsia="Times New Roman"/>
          <w:i/>
          <w:iCs/>
        </w:rPr>
        <w:t>7</w:t>
      </w:r>
      <w:r w:rsidRPr="000927C3">
        <w:rPr>
          <w:rFonts w:eastAsia="Times New Roman"/>
        </w:rPr>
        <w:t>(1), 3-13.</w:t>
      </w:r>
    </w:p>
    <w:p w14:paraId="544D1DB4" w14:textId="77777777" w:rsidR="00AB13DC" w:rsidRPr="000927C3" w:rsidRDefault="00AB13DC" w:rsidP="000927C3"/>
    <w:p w14:paraId="686A8BFE" w14:textId="63FD9F7B" w:rsidR="00B43C7E" w:rsidRPr="000927C3" w:rsidRDefault="00B43C7E" w:rsidP="000927C3">
      <w:pPr>
        <w:rPr>
          <w:rFonts w:eastAsia="Times New Roman"/>
        </w:rPr>
      </w:pPr>
      <w:r w:rsidRPr="000927C3">
        <w:rPr>
          <w:rFonts w:eastAsia="Times New Roman"/>
        </w:rPr>
        <w:lastRenderedPageBreak/>
        <w:t xml:space="preserve">Jiang, S., Wu, J., Xu, J., &amp; Tian, J. (2021). Connecting Integrated Performance Assessment to Chinese classroom teaching and learning. In </w:t>
      </w:r>
      <w:r w:rsidR="007E0F1B" w:rsidRPr="000927C3">
        <w:rPr>
          <w:rFonts w:eastAsia="Times New Roman"/>
        </w:rPr>
        <w:t>Y. Zhang &amp; X. Gao (Eds.),</w:t>
      </w:r>
      <w:r w:rsidRPr="000927C3">
        <w:rPr>
          <w:rFonts w:eastAsia="Times New Roman"/>
        </w:rPr>
        <w:t xml:space="preserve"> </w:t>
      </w:r>
      <w:r w:rsidRPr="000927C3">
        <w:rPr>
          <w:rFonts w:eastAsia="Times New Roman"/>
          <w:i/>
          <w:iCs/>
        </w:rPr>
        <w:t>Frontiers of L2 Chinese language education</w:t>
      </w:r>
      <w:r w:rsidRPr="000927C3">
        <w:rPr>
          <w:rFonts w:eastAsia="Times New Roman"/>
        </w:rPr>
        <w:t xml:space="preserve"> (pp. 68-89). Routledge.</w:t>
      </w:r>
    </w:p>
    <w:p w14:paraId="3BF3A4E8" w14:textId="77777777" w:rsidR="00B43C7E" w:rsidRPr="000927C3" w:rsidRDefault="00B43C7E" w:rsidP="000927C3"/>
    <w:p w14:paraId="25BDB7AB" w14:textId="1E78B0F5" w:rsidR="0045121A" w:rsidRDefault="0045121A" w:rsidP="000927C3">
      <w:pPr>
        <w:rPr>
          <w:rFonts w:eastAsia="Times New Roman"/>
        </w:rPr>
      </w:pPr>
      <w:r w:rsidRPr="000927C3">
        <w:rPr>
          <w:rFonts w:eastAsia="Times New Roman"/>
        </w:rPr>
        <w:t>Kang, S. (2022). Integrated Performance Assessment and KSL.</w:t>
      </w:r>
      <w:r w:rsidR="00AE4A62" w:rsidRPr="000927C3">
        <w:rPr>
          <w:rFonts w:eastAsia="Times New Roman"/>
        </w:rPr>
        <w:t xml:space="preserve"> In A. S. </w:t>
      </w:r>
      <w:r w:rsidR="00AE4A62" w:rsidRPr="000927C3">
        <w:t>Byon &amp; D. O. Pyun (Eds.),</w:t>
      </w:r>
      <w:r w:rsidRPr="000927C3">
        <w:rPr>
          <w:rFonts w:eastAsia="Times New Roman"/>
        </w:rPr>
        <w:t xml:space="preserve"> </w:t>
      </w:r>
      <w:r w:rsidRPr="000927C3">
        <w:rPr>
          <w:rFonts w:eastAsia="Times New Roman"/>
          <w:i/>
          <w:iCs/>
        </w:rPr>
        <w:t xml:space="preserve">The Routledge </w:t>
      </w:r>
      <w:r w:rsidR="00AE4A62" w:rsidRPr="000927C3">
        <w:rPr>
          <w:rFonts w:eastAsia="Times New Roman"/>
          <w:i/>
          <w:iCs/>
        </w:rPr>
        <w:t>h</w:t>
      </w:r>
      <w:r w:rsidRPr="000927C3">
        <w:rPr>
          <w:rFonts w:eastAsia="Times New Roman"/>
          <w:i/>
          <w:iCs/>
        </w:rPr>
        <w:t xml:space="preserve">andbook of Korean as a </w:t>
      </w:r>
      <w:r w:rsidR="00AE4A62" w:rsidRPr="000927C3">
        <w:rPr>
          <w:rFonts w:eastAsia="Times New Roman"/>
          <w:i/>
          <w:iCs/>
        </w:rPr>
        <w:t>s</w:t>
      </w:r>
      <w:r w:rsidRPr="000927C3">
        <w:rPr>
          <w:rFonts w:eastAsia="Times New Roman"/>
          <w:i/>
          <w:iCs/>
        </w:rPr>
        <w:t xml:space="preserve">econd </w:t>
      </w:r>
      <w:r w:rsidR="00AE4A62" w:rsidRPr="000927C3">
        <w:rPr>
          <w:rFonts w:eastAsia="Times New Roman"/>
          <w:i/>
          <w:iCs/>
        </w:rPr>
        <w:t>l</w:t>
      </w:r>
      <w:r w:rsidRPr="000927C3">
        <w:rPr>
          <w:rFonts w:eastAsia="Times New Roman"/>
          <w:i/>
          <w:iCs/>
        </w:rPr>
        <w:t>anguage</w:t>
      </w:r>
      <w:r w:rsidRPr="000927C3">
        <w:rPr>
          <w:rFonts w:eastAsia="Times New Roman"/>
        </w:rPr>
        <w:t xml:space="preserve"> </w:t>
      </w:r>
      <w:r w:rsidR="00AE4A62" w:rsidRPr="000927C3">
        <w:rPr>
          <w:rFonts w:eastAsia="Times New Roman"/>
        </w:rPr>
        <w:t xml:space="preserve">(pp. </w:t>
      </w:r>
      <w:r w:rsidRPr="000927C3">
        <w:rPr>
          <w:rFonts w:eastAsia="Times New Roman"/>
        </w:rPr>
        <w:t>518-539</w:t>
      </w:r>
      <w:r w:rsidR="00AE4A62" w:rsidRPr="000927C3">
        <w:rPr>
          <w:rFonts w:eastAsia="Times New Roman"/>
        </w:rPr>
        <w:t>)</w:t>
      </w:r>
      <w:r w:rsidRPr="000927C3">
        <w:rPr>
          <w:rFonts w:eastAsia="Times New Roman"/>
        </w:rPr>
        <w:t>.</w:t>
      </w:r>
      <w:r w:rsidR="00AE4A62" w:rsidRPr="000927C3">
        <w:rPr>
          <w:rFonts w:eastAsia="Times New Roman"/>
        </w:rPr>
        <w:t xml:space="preserve"> Routledge.</w:t>
      </w:r>
    </w:p>
    <w:p w14:paraId="5ABD90AC" w14:textId="77777777" w:rsidR="00F5145E" w:rsidRDefault="00F5145E" w:rsidP="000927C3">
      <w:pPr>
        <w:rPr>
          <w:rFonts w:eastAsia="Times New Roman"/>
        </w:rPr>
      </w:pPr>
    </w:p>
    <w:p w14:paraId="3F0C1A51" w14:textId="2737FBF2" w:rsidR="00F5145E" w:rsidRPr="000927C3" w:rsidRDefault="00F5145E" w:rsidP="000927C3">
      <w:pPr>
        <w:rPr>
          <w:rFonts w:eastAsia="Times New Roman"/>
        </w:rPr>
      </w:pPr>
      <w:r w:rsidRPr="00F5145E">
        <w:rPr>
          <w:rFonts w:eastAsia="Times New Roman"/>
        </w:rPr>
        <w:t xml:space="preserve">Kemp, L., &amp; Stepanyan, L. (2021). Responding to </w:t>
      </w:r>
      <w:r>
        <w:rPr>
          <w:rFonts w:eastAsia="Times New Roman"/>
        </w:rPr>
        <w:t>c</w:t>
      </w:r>
      <w:r w:rsidRPr="00F5145E">
        <w:rPr>
          <w:rFonts w:eastAsia="Times New Roman"/>
        </w:rPr>
        <w:t xml:space="preserve">risis with </w:t>
      </w:r>
      <w:r>
        <w:rPr>
          <w:rFonts w:eastAsia="Times New Roman"/>
        </w:rPr>
        <w:t>c</w:t>
      </w:r>
      <w:r w:rsidRPr="00F5145E">
        <w:rPr>
          <w:rFonts w:eastAsia="Times New Roman"/>
        </w:rPr>
        <w:t xml:space="preserve">reativity: Open Integrated Performance Assessments. </w:t>
      </w:r>
      <w:r w:rsidRPr="00F5145E">
        <w:rPr>
          <w:rFonts w:eastAsia="Times New Roman"/>
          <w:i/>
          <w:iCs/>
        </w:rPr>
        <w:t>Hispania</w:t>
      </w:r>
      <w:r w:rsidRPr="00F5145E">
        <w:rPr>
          <w:rFonts w:eastAsia="Times New Roman"/>
        </w:rPr>
        <w:t xml:space="preserve">, </w:t>
      </w:r>
      <w:r w:rsidRPr="00F5145E">
        <w:rPr>
          <w:rFonts w:eastAsia="Times New Roman"/>
          <w:i/>
          <w:iCs/>
        </w:rPr>
        <w:t>104</w:t>
      </w:r>
      <w:r w:rsidRPr="00F5145E">
        <w:rPr>
          <w:rFonts w:eastAsia="Times New Roman"/>
        </w:rPr>
        <w:t>(3), 347-351.</w:t>
      </w:r>
      <w:r>
        <w:rPr>
          <w:rFonts w:eastAsia="Times New Roman"/>
        </w:rPr>
        <w:t xml:space="preserve"> </w:t>
      </w:r>
      <w:hyperlink r:id="rId15" w:history="1">
        <w:r w:rsidRPr="00F5145E">
          <w:rPr>
            <w:rStyle w:val="Hyperlink"/>
            <w:rFonts w:eastAsia="Times New Roman"/>
          </w:rPr>
          <w:t>https://dx.doi.org/10.1353/hpn.2021.0087</w:t>
        </w:r>
      </w:hyperlink>
      <w:r w:rsidRPr="00F5145E">
        <w:rPr>
          <w:rFonts w:eastAsia="Times New Roman"/>
        </w:rPr>
        <w:t>.</w:t>
      </w:r>
    </w:p>
    <w:p w14:paraId="32D9C52E" w14:textId="77777777" w:rsidR="003D700E" w:rsidRPr="000927C3" w:rsidRDefault="003D700E" w:rsidP="000927C3">
      <w:pPr>
        <w:rPr>
          <w:rFonts w:eastAsia="Times New Roman"/>
          <w:color w:val="000000" w:themeColor="text1"/>
        </w:rPr>
      </w:pPr>
    </w:p>
    <w:p w14:paraId="0D54DE1F" w14:textId="77777777" w:rsidR="003D700E" w:rsidRPr="000927C3" w:rsidRDefault="003D700E" w:rsidP="000927C3">
      <w:pPr>
        <w:rPr>
          <w:rFonts w:eastAsia="Times New Roman"/>
          <w:color w:val="000000" w:themeColor="text1"/>
        </w:rPr>
      </w:pPr>
      <w:r w:rsidRPr="000927C3">
        <w:rPr>
          <w:rFonts w:eastAsia="Times New Roman"/>
          <w:color w:val="000000" w:themeColor="text1"/>
        </w:rPr>
        <w:t xml:space="preserve">Kissau, S., &amp; Adams, M. J. (2016). Instructional design making and IPAs: Assessing the modes of communication. </w:t>
      </w:r>
      <w:r w:rsidRPr="000927C3">
        <w:rPr>
          <w:rFonts w:eastAsia="Times New Roman"/>
          <w:i/>
          <w:iCs/>
          <w:color w:val="000000" w:themeColor="text1"/>
        </w:rPr>
        <w:t>Foreign Language Annals, 49</w:t>
      </w:r>
      <w:r w:rsidRPr="000927C3">
        <w:rPr>
          <w:rFonts w:eastAsia="Times New Roman"/>
          <w:color w:val="000000" w:themeColor="text1"/>
        </w:rPr>
        <w:t>(1), 105-123.</w:t>
      </w:r>
    </w:p>
    <w:p w14:paraId="676E5039" w14:textId="2168705C" w:rsidR="003D700E" w:rsidRPr="000927C3" w:rsidRDefault="003D700E" w:rsidP="000927C3">
      <w:pPr>
        <w:rPr>
          <w:rFonts w:eastAsia="Times New Roman"/>
          <w:color w:val="000000"/>
        </w:rPr>
      </w:pPr>
    </w:p>
    <w:p w14:paraId="2E24B766" w14:textId="77777777" w:rsidR="007B33A6" w:rsidRPr="000927C3" w:rsidRDefault="007B33A6" w:rsidP="000927C3">
      <w:pPr>
        <w:rPr>
          <w:rFonts w:eastAsia="Times New Roman"/>
        </w:rPr>
      </w:pPr>
      <w:r w:rsidRPr="000927C3">
        <w:rPr>
          <w:rFonts w:eastAsia="Times New Roman"/>
        </w:rPr>
        <w:t xml:space="preserve">Kurniawan, I., </w:t>
      </w:r>
      <w:proofErr w:type="spellStart"/>
      <w:r w:rsidRPr="000927C3">
        <w:rPr>
          <w:rFonts w:eastAsia="Times New Roman"/>
        </w:rPr>
        <w:t>Sabaruddin</w:t>
      </w:r>
      <w:proofErr w:type="spellEnd"/>
      <w:r w:rsidRPr="000927C3">
        <w:rPr>
          <w:rFonts w:eastAsia="Times New Roman"/>
        </w:rPr>
        <w:t xml:space="preserve">, S., &amp; Lubis, A. A. (2022). The implementation of the integrated performance assessment (IPA) model to improve English students' speaking skills. </w:t>
      </w:r>
      <w:r w:rsidRPr="000927C3">
        <w:rPr>
          <w:rFonts w:eastAsia="Times New Roman"/>
          <w:i/>
          <w:iCs/>
        </w:rPr>
        <w:t>JOALL (Journal of Applied Linguistics and Literature)</w:t>
      </w:r>
      <w:r w:rsidRPr="000927C3">
        <w:rPr>
          <w:rFonts w:eastAsia="Times New Roman"/>
        </w:rPr>
        <w:t xml:space="preserve">, </w:t>
      </w:r>
      <w:r w:rsidRPr="000927C3">
        <w:rPr>
          <w:rFonts w:eastAsia="Times New Roman"/>
          <w:i/>
          <w:iCs/>
        </w:rPr>
        <w:t>7</w:t>
      </w:r>
      <w:r w:rsidRPr="000927C3">
        <w:rPr>
          <w:rFonts w:eastAsia="Times New Roman"/>
        </w:rPr>
        <w:t>(2), 432-443.</w:t>
      </w:r>
    </w:p>
    <w:p w14:paraId="3EAB4B2B" w14:textId="2EF181A7" w:rsidR="007B33A6" w:rsidRPr="000927C3" w:rsidRDefault="007B33A6" w:rsidP="000927C3">
      <w:pPr>
        <w:rPr>
          <w:rFonts w:eastAsia="Times New Roman"/>
          <w:color w:val="000000"/>
        </w:rPr>
      </w:pPr>
    </w:p>
    <w:p w14:paraId="14827691" w14:textId="77777777" w:rsidR="00245E97" w:rsidRPr="00245E97" w:rsidRDefault="00245E97" w:rsidP="000927C3">
      <w:pPr>
        <w:rPr>
          <w:rFonts w:eastAsia="Times New Roman"/>
        </w:rPr>
      </w:pPr>
      <w:proofErr w:type="spellStart"/>
      <w:r w:rsidRPr="00245E97">
        <w:rPr>
          <w:rFonts w:eastAsia="Times New Roman"/>
        </w:rPr>
        <w:t>Lützkendorf</w:t>
      </w:r>
      <w:proofErr w:type="spellEnd"/>
      <w:r w:rsidRPr="00245E97">
        <w:rPr>
          <w:rFonts w:eastAsia="Times New Roman"/>
        </w:rPr>
        <w:t xml:space="preserve">, T., &amp; Lorenz, D. P. (2006). Using an integrated performance approach in building assessment tools. </w:t>
      </w:r>
      <w:r w:rsidRPr="00245E97">
        <w:rPr>
          <w:rFonts w:eastAsia="Times New Roman"/>
          <w:i/>
          <w:iCs/>
        </w:rPr>
        <w:t>Building Research &amp; Information</w:t>
      </w:r>
      <w:r w:rsidRPr="00245E97">
        <w:rPr>
          <w:rFonts w:eastAsia="Times New Roman"/>
        </w:rPr>
        <w:t xml:space="preserve">, </w:t>
      </w:r>
      <w:r w:rsidRPr="00245E97">
        <w:rPr>
          <w:rFonts w:eastAsia="Times New Roman"/>
          <w:i/>
          <w:iCs/>
        </w:rPr>
        <w:t>34</w:t>
      </w:r>
      <w:r w:rsidRPr="00245E97">
        <w:rPr>
          <w:rFonts w:eastAsia="Times New Roman"/>
        </w:rPr>
        <w:t>(4), 334-356.</w:t>
      </w:r>
    </w:p>
    <w:p w14:paraId="6A83DF96" w14:textId="77777777" w:rsidR="00245E97" w:rsidRPr="000927C3" w:rsidRDefault="00245E97" w:rsidP="000927C3">
      <w:pPr>
        <w:rPr>
          <w:rFonts w:eastAsia="Times New Roman"/>
          <w:color w:val="000000"/>
        </w:rPr>
      </w:pPr>
    </w:p>
    <w:p w14:paraId="7242027D" w14:textId="37B8BECE" w:rsidR="001C0165" w:rsidRPr="000927C3" w:rsidRDefault="001C0165" w:rsidP="000927C3">
      <w:pPr>
        <w:rPr>
          <w:rFonts w:eastAsia="Times New Roman"/>
        </w:rPr>
      </w:pPr>
      <w:r w:rsidRPr="000927C3">
        <w:rPr>
          <w:rFonts w:eastAsia="Times New Roman"/>
        </w:rPr>
        <w:t>Madel, R. (2017). The Intersection of the IPA and PBL: Exploring a unit that demonstrates how the Integrated Performance Assessment pairs naturally with project</w:t>
      </w:r>
      <w:r w:rsidR="00891E2B" w:rsidRPr="000927C3">
        <w:rPr>
          <w:rFonts w:eastAsia="Times New Roman"/>
        </w:rPr>
        <w:t>-</w:t>
      </w:r>
      <w:r w:rsidRPr="000927C3">
        <w:rPr>
          <w:rFonts w:eastAsia="Times New Roman"/>
        </w:rPr>
        <w:t xml:space="preserve">based learning. </w:t>
      </w:r>
      <w:r w:rsidRPr="000927C3">
        <w:rPr>
          <w:rFonts w:eastAsia="Times New Roman"/>
          <w:i/>
          <w:iCs/>
        </w:rPr>
        <w:t>Pennsylvania Language Forum</w:t>
      </w:r>
      <w:r w:rsidRPr="000927C3">
        <w:rPr>
          <w:rFonts w:eastAsia="Times New Roman"/>
        </w:rPr>
        <w:t xml:space="preserve">, </w:t>
      </w:r>
      <w:r w:rsidRPr="000927C3">
        <w:rPr>
          <w:rFonts w:eastAsia="Times New Roman"/>
          <w:i/>
          <w:iCs/>
        </w:rPr>
        <w:t>87</w:t>
      </w:r>
      <w:r w:rsidRPr="000927C3">
        <w:rPr>
          <w:rFonts w:eastAsia="Times New Roman"/>
        </w:rPr>
        <w:t>(1) 18-20).</w:t>
      </w:r>
    </w:p>
    <w:p w14:paraId="02079DF8" w14:textId="77777777" w:rsidR="001C0165" w:rsidRPr="000927C3" w:rsidRDefault="001C0165" w:rsidP="000927C3">
      <w:pPr>
        <w:rPr>
          <w:rFonts w:eastAsia="Times New Roman"/>
          <w:color w:val="000000"/>
        </w:rPr>
      </w:pPr>
    </w:p>
    <w:p w14:paraId="21CC9721" w14:textId="15253599" w:rsidR="00ED2641" w:rsidRPr="000927C3" w:rsidRDefault="00ED2641" w:rsidP="000927C3">
      <w:pPr>
        <w:rPr>
          <w:rFonts w:eastAsia="Times New Roman"/>
        </w:rPr>
      </w:pPr>
      <w:r w:rsidRPr="000927C3">
        <w:rPr>
          <w:rFonts w:eastAsia="Times New Roman"/>
        </w:rPr>
        <w:t xml:space="preserve">Madison, S. M. (2019). Integrated performance assessments: A review of the literature and steps to move forward. </w:t>
      </w:r>
      <w:r w:rsidRPr="000927C3">
        <w:rPr>
          <w:rFonts w:eastAsia="Times New Roman"/>
          <w:i/>
          <w:iCs/>
        </w:rPr>
        <w:t>Spanish and Portuguese Review, 5</w:t>
      </w:r>
      <w:r w:rsidRPr="000927C3">
        <w:rPr>
          <w:rFonts w:eastAsia="Times New Roman"/>
        </w:rPr>
        <w:t>, 99-111. https://tigerprints.clemson.edu/cgi/viewcontent.cgi?article=1024&amp;context=ed_human_dvlpmnt_pub</w:t>
      </w:r>
    </w:p>
    <w:p w14:paraId="4348E75D" w14:textId="77777777" w:rsidR="00ED2641" w:rsidRDefault="00ED2641" w:rsidP="000927C3">
      <w:pPr>
        <w:rPr>
          <w:rFonts w:eastAsia="Times New Roman"/>
          <w:color w:val="000000"/>
        </w:rPr>
      </w:pPr>
    </w:p>
    <w:p w14:paraId="62872878" w14:textId="14FB81CD" w:rsidR="00630D8E" w:rsidRPr="00630D8E" w:rsidRDefault="00630D8E" w:rsidP="00630D8E">
      <w:pPr>
        <w:rPr>
          <w:rFonts w:eastAsia="Times New Roman"/>
          <w:color w:val="000000"/>
        </w:rPr>
      </w:pPr>
      <w:r w:rsidRPr="00630D8E">
        <w:rPr>
          <w:rFonts w:eastAsia="Times New Roman"/>
          <w:color w:val="000000"/>
        </w:rPr>
        <w:t>Malone, M. E., &amp; Sandrock, P. (2016). Assessment issues in world languages. In</w:t>
      </w:r>
      <w:r>
        <w:rPr>
          <w:rFonts w:eastAsia="Times New Roman"/>
          <w:color w:val="000000"/>
        </w:rPr>
        <w:t xml:space="preserve"> H. Braun (Ed.),</w:t>
      </w:r>
      <w:r w:rsidRPr="00630D8E">
        <w:rPr>
          <w:rFonts w:eastAsia="Times New Roman"/>
          <w:color w:val="000000"/>
        </w:rPr>
        <w:t xml:space="preserve"> </w:t>
      </w:r>
      <w:r w:rsidRPr="00630D8E">
        <w:rPr>
          <w:rFonts w:eastAsia="Times New Roman"/>
          <w:i/>
          <w:iCs/>
          <w:color w:val="000000"/>
        </w:rPr>
        <w:t xml:space="preserve">Meeting the </w:t>
      </w:r>
      <w:r>
        <w:rPr>
          <w:rFonts w:eastAsia="Times New Roman"/>
          <w:i/>
          <w:iCs/>
          <w:color w:val="000000"/>
        </w:rPr>
        <w:t>c</w:t>
      </w:r>
      <w:r w:rsidRPr="00630D8E">
        <w:rPr>
          <w:rFonts w:eastAsia="Times New Roman"/>
          <w:i/>
          <w:iCs/>
          <w:color w:val="000000"/>
        </w:rPr>
        <w:t xml:space="preserve">hallenges to </w:t>
      </w:r>
      <w:r>
        <w:rPr>
          <w:rFonts w:eastAsia="Times New Roman"/>
          <w:i/>
          <w:iCs/>
          <w:color w:val="000000"/>
        </w:rPr>
        <w:t>m</w:t>
      </w:r>
      <w:r w:rsidRPr="00630D8E">
        <w:rPr>
          <w:rFonts w:eastAsia="Times New Roman"/>
          <w:i/>
          <w:iCs/>
          <w:color w:val="000000"/>
        </w:rPr>
        <w:t xml:space="preserve">easurement in an </w:t>
      </w:r>
      <w:r>
        <w:rPr>
          <w:rFonts w:eastAsia="Times New Roman"/>
          <w:i/>
          <w:iCs/>
          <w:color w:val="000000"/>
        </w:rPr>
        <w:t>e</w:t>
      </w:r>
      <w:r w:rsidRPr="00630D8E">
        <w:rPr>
          <w:rFonts w:eastAsia="Times New Roman"/>
          <w:i/>
          <w:iCs/>
          <w:color w:val="000000"/>
        </w:rPr>
        <w:t xml:space="preserve">ra of </w:t>
      </w:r>
      <w:r>
        <w:rPr>
          <w:rFonts w:eastAsia="Times New Roman"/>
          <w:i/>
          <w:iCs/>
          <w:color w:val="000000"/>
        </w:rPr>
        <w:t>a</w:t>
      </w:r>
      <w:r w:rsidRPr="00630D8E">
        <w:rPr>
          <w:rFonts w:eastAsia="Times New Roman"/>
          <w:i/>
          <w:iCs/>
          <w:color w:val="000000"/>
        </w:rPr>
        <w:t>ccountability</w:t>
      </w:r>
      <w:r w:rsidRPr="00630D8E">
        <w:rPr>
          <w:rFonts w:eastAsia="Times New Roman"/>
          <w:color w:val="000000"/>
        </w:rPr>
        <w:t xml:space="preserve"> (pp. 217-235). Routledge.</w:t>
      </w:r>
    </w:p>
    <w:p w14:paraId="11B18F97" w14:textId="77777777" w:rsidR="00630D8E" w:rsidRPr="000927C3" w:rsidRDefault="00630D8E" w:rsidP="000927C3">
      <w:pPr>
        <w:rPr>
          <w:rFonts w:eastAsia="Times New Roman"/>
          <w:color w:val="000000"/>
        </w:rPr>
      </w:pPr>
    </w:p>
    <w:p w14:paraId="08973FA0" w14:textId="77777777" w:rsidR="00C22446" w:rsidRPr="000927C3" w:rsidRDefault="00C22446" w:rsidP="000927C3">
      <w:pPr>
        <w:autoSpaceDE w:val="0"/>
        <w:autoSpaceDN w:val="0"/>
        <w:adjustRightInd w:val="0"/>
        <w:rPr>
          <w:b/>
          <w:bCs/>
          <w:color w:val="000000"/>
        </w:rPr>
      </w:pPr>
      <w:r w:rsidRPr="000927C3">
        <w:t>Martel, J. (2010). French fairy tales and conventional wisdom. An Integrated Performance Assessment (IPA) developed for the Virtual Assessment Center (VAC) at the Center for Advanced Research on Language Acquisition (CARLA). Available online at: http://www.carla.umn.edu/assessment/vac/CreateUnit/e_1.html</w:t>
      </w:r>
    </w:p>
    <w:p w14:paraId="15235C43" w14:textId="77777777" w:rsidR="00C22446" w:rsidRPr="000927C3" w:rsidRDefault="00C22446" w:rsidP="000927C3">
      <w:pPr>
        <w:rPr>
          <w:rFonts w:eastAsia="Times New Roman"/>
          <w:color w:val="000000"/>
        </w:rPr>
      </w:pPr>
    </w:p>
    <w:p w14:paraId="0BDA0615" w14:textId="751323D9" w:rsidR="003D700E" w:rsidRPr="000927C3" w:rsidRDefault="003D700E" w:rsidP="000927C3">
      <w:pPr>
        <w:rPr>
          <w:rFonts w:eastAsia="Times New Roman"/>
          <w:color w:val="000000"/>
        </w:rPr>
      </w:pPr>
      <w:r w:rsidRPr="000927C3">
        <w:rPr>
          <w:rFonts w:eastAsia="Times New Roman"/>
          <w:color w:val="000000"/>
        </w:rPr>
        <w:t xml:space="preserve">Martel, J. (2018). Postsecondary students' and instructors' evaluative comments about ACTFL's Integrated Performance Assessment. </w:t>
      </w:r>
      <w:r w:rsidRPr="000927C3">
        <w:rPr>
          <w:rFonts w:eastAsia="Times New Roman"/>
          <w:i/>
          <w:iCs/>
          <w:color w:val="000000"/>
        </w:rPr>
        <w:t>Journal of Applied Language Learning, 28</w:t>
      </w:r>
      <w:r w:rsidRPr="000927C3">
        <w:rPr>
          <w:rFonts w:eastAsia="Times New Roman"/>
          <w:color w:val="000000"/>
        </w:rPr>
        <w:t>(1), 1</w:t>
      </w:r>
      <w:r w:rsidR="000F0E3C">
        <w:rPr>
          <w:rFonts w:eastAsia="Times New Roman"/>
          <w:color w:val="000000"/>
        </w:rPr>
        <w:t>-</w:t>
      </w:r>
      <w:r w:rsidRPr="000927C3">
        <w:rPr>
          <w:rFonts w:eastAsia="Times New Roman"/>
          <w:color w:val="000000"/>
        </w:rPr>
        <w:t>18. </w:t>
      </w:r>
    </w:p>
    <w:p w14:paraId="0E0884BC" w14:textId="77777777" w:rsidR="003D700E" w:rsidRPr="000927C3" w:rsidRDefault="003D700E" w:rsidP="000927C3"/>
    <w:p w14:paraId="30378016" w14:textId="33131E23" w:rsidR="009015BE" w:rsidRPr="000927C3" w:rsidRDefault="009015BE" w:rsidP="000927C3">
      <w:pPr>
        <w:rPr>
          <w:color w:val="000000"/>
        </w:rPr>
      </w:pPr>
      <w:r w:rsidRPr="000927C3">
        <w:rPr>
          <w:color w:val="000000"/>
        </w:rPr>
        <w:lastRenderedPageBreak/>
        <w:t xml:space="preserve">Martel, J. (2019). Washback of ACTFL’s Integrated Performance Assessment in an intensive summer language program at the tertiary level. </w:t>
      </w:r>
      <w:r w:rsidRPr="000927C3">
        <w:rPr>
          <w:i/>
          <w:iCs/>
          <w:color w:val="000000"/>
        </w:rPr>
        <w:t>Language Education &amp; Assessment, 2</w:t>
      </w:r>
      <w:r w:rsidRPr="000927C3">
        <w:rPr>
          <w:color w:val="000000"/>
        </w:rPr>
        <w:t>(2), 57</w:t>
      </w:r>
      <w:r w:rsidR="000F0E3C">
        <w:rPr>
          <w:color w:val="000000"/>
        </w:rPr>
        <w:t>-</w:t>
      </w:r>
      <w:r w:rsidRPr="000927C3">
        <w:rPr>
          <w:color w:val="000000"/>
        </w:rPr>
        <w:t>69.</w:t>
      </w:r>
      <w:r w:rsidR="008A3CD1" w:rsidRPr="008A3CD1">
        <w:rPr>
          <w:color w:val="000000"/>
        </w:rPr>
        <w:t xml:space="preserve"> </w:t>
      </w:r>
      <w:hyperlink r:id="rId16" w:history="1">
        <w:r w:rsidR="008A3CD1" w:rsidRPr="008A3CD1">
          <w:rPr>
            <w:rStyle w:val="Hyperlink"/>
          </w:rPr>
          <w:t xml:space="preserve">https://doi.org/10.29140/lea.v2n2.105 </w:t>
        </w:r>
      </w:hyperlink>
    </w:p>
    <w:p w14:paraId="5EECE0FE" w14:textId="77777777" w:rsidR="009015BE" w:rsidRPr="000927C3" w:rsidRDefault="009015BE" w:rsidP="000927C3"/>
    <w:p w14:paraId="46281DA8" w14:textId="01C56BF1" w:rsidR="003D700E" w:rsidRPr="000927C3" w:rsidRDefault="003D700E" w:rsidP="000927C3">
      <w:r w:rsidRPr="000927C3">
        <w:t xml:space="preserve">Martel, J., &amp; Bailey, K. M. (2016). Exploring the trajectory of an educational innovation: Teachers’ attitudes toward summative IPA implementation in an intensive summer language program at the post-secondary level. </w:t>
      </w:r>
      <w:r w:rsidRPr="000927C3">
        <w:rPr>
          <w:i/>
          <w:iCs/>
        </w:rPr>
        <w:t>Foreign Language Annals, 49</w:t>
      </w:r>
      <w:r w:rsidRPr="000927C3">
        <w:t>(3), 530-543.</w:t>
      </w:r>
    </w:p>
    <w:p w14:paraId="00225B76" w14:textId="77777777" w:rsidR="001F0C68" w:rsidRPr="000927C3" w:rsidRDefault="001F0C68" w:rsidP="000927C3"/>
    <w:p w14:paraId="78CC2DE9" w14:textId="77777777" w:rsidR="001F0C68" w:rsidRDefault="001F0C68" w:rsidP="000927C3">
      <w:pPr>
        <w:rPr>
          <w:rFonts w:eastAsia="Times New Roman"/>
        </w:rPr>
      </w:pPr>
      <w:r w:rsidRPr="000927C3">
        <w:rPr>
          <w:rFonts w:eastAsia="Times New Roman"/>
        </w:rPr>
        <w:t xml:space="preserve">Matsushita, K., Ono, K., &amp; Saito, Y. (2018). Combining course-and program-level outcomes assessments through embedded performance assessments at key courses: A proposal based on the experience from a Japanese dental education program. </w:t>
      </w:r>
      <w:r w:rsidRPr="000927C3">
        <w:rPr>
          <w:rFonts w:eastAsia="Times New Roman"/>
          <w:i/>
          <w:iCs/>
        </w:rPr>
        <w:t>Tuning Journal for Higher Education</w:t>
      </w:r>
      <w:r w:rsidRPr="000927C3">
        <w:rPr>
          <w:rFonts w:eastAsia="Times New Roman"/>
        </w:rPr>
        <w:t xml:space="preserve">, </w:t>
      </w:r>
      <w:r w:rsidRPr="000927C3">
        <w:rPr>
          <w:rFonts w:eastAsia="Times New Roman"/>
          <w:i/>
          <w:iCs/>
        </w:rPr>
        <w:t>6</w:t>
      </w:r>
      <w:r w:rsidRPr="000927C3">
        <w:rPr>
          <w:rFonts w:eastAsia="Times New Roman"/>
        </w:rPr>
        <w:t>(1), 111-142.</w:t>
      </w:r>
    </w:p>
    <w:p w14:paraId="1584A6FD" w14:textId="77777777" w:rsidR="00E824CF" w:rsidRDefault="00E824CF" w:rsidP="000927C3">
      <w:pPr>
        <w:rPr>
          <w:rFonts w:eastAsia="Times New Roman"/>
        </w:rPr>
      </w:pPr>
    </w:p>
    <w:p w14:paraId="5D8141EC" w14:textId="301A6519" w:rsidR="00E824CF" w:rsidRPr="00E824CF" w:rsidRDefault="00E824CF" w:rsidP="00E824CF">
      <w:pPr>
        <w:rPr>
          <w:rFonts w:eastAsia="Times New Roman"/>
        </w:rPr>
      </w:pPr>
      <w:r w:rsidRPr="00E824CF">
        <w:rPr>
          <w:rFonts w:eastAsia="Times New Roman"/>
        </w:rPr>
        <w:t xml:space="preserve">Miller, K. </w:t>
      </w:r>
      <w:r>
        <w:rPr>
          <w:rFonts w:eastAsia="Times New Roman"/>
        </w:rPr>
        <w:t xml:space="preserve">(2010). </w:t>
      </w:r>
      <w:r w:rsidRPr="00E824CF">
        <w:rPr>
          <w:rFonts w:eastAsia="Times New Roman"/>
        </w:rPr>
        <w:t xml:space="preserve">Planning </w:t>
      </w:r>
      <w:r>
        <w:rPr>
          <w:rFonts w:eastAsia="Times New Roman"/>
        </w:rPr>
        <w:t>l</w:t>
      </w:r>
      <w:r w:rsidRPr="00E824CF">
        <w:rPr>
          <w:rFonts w:eastAsia="Times New Roman"/>
        </w:rPr>
        <w:t xml:space="preserve">anguage </w:t>
      </w:r>
      <w:r>
        <w:rPr>
          <w:rFonts w:eastAsia="Times New Roman"/>
        </w:rPr>
        <w:t>o</w:t>
      </w:r>
      <w:r w:rsidRPr="00E824CF">
        <w:rPr>
          <w:rFonts w:eastAsia="Times New Roman"/>
        </w:rPr>
        <w:t>bjectives for Integrated Performance Assessments.</w:t>
      </w:r>
      <w:r>
        <w:rPr>
          <w:rFonts w:eastAsia="Times New Roman"/>
        </w:rPr>
        <w:t xml:space="preserve"> </w:t>
      </w:r>
      <w:r w:rsidRPr="00E824CF">
        <w:rPr>
          <w:rFonts w:eastAsia="Times New Roman"/>
          <w:i/>
          <w:iCs/>
        </w:rPr>
        <w:t>ACIE Newsletter: The Bridge</w:t>
      </w:r>
      <w:r>
        <w:rPr>
          <w:rFonts w:eastAsia="Times New Roman"/>
        </w:rPr>
        <w:t xml:space="preserve">, 1-8. </w:t>
      </w:r>
      <w:r w:rsidRPr="00E824CF">
        <w:rPr>
          <w:rFonts w:eastAsia="Times New Roman"/>
        </w:rPr>
        <w:t>https://test-carla.gps.umn.edu/immersion/acie/vol14/no1/Bridge_Nov_2010.pdf</w:t>
      </w:r>
    </w:p>
    <w:p w14:paraId="31C5557E" w14:textId="77777777" w:rsidR="00E824CF" w:rsidRPr="000927C3" w:rsidRDefault="00E824CF" w:rsidP="000927C3">
      <w:pPr>
        <w:rPr>
          <w:rFonts w:eastAsia="Times New Roman"/>
        </w:rPr>
      </w:pPr>
    </w:p>
    <w:p w14:paraId="2E5ACED1" w14:textId="23602789" w:rsidR="00E824CF" w:rsidRPr="00E824CF" w:rsidRDefault="00E824CF" w:rsidP="00E824CF">
      <w:bookmarkStart w:id="1" w:name="_Hlk192404642"/>
      <w:r w:rsidRPr="00E824CF">
        <w:t xml:space="preserve">Norris, J. M., &amp; Pfeiffer, P. C. (2003). Exploring the uses and usefulness of ACTFL oral proficiency ratings and standards in college foreign language departments. </w:t>
      </w:r>
      <w:r w:rsidRPr="00E824CF">
        <w:rPr>
          <w:i/>
          <w:iCs/>
        </w:rPr>
        <w:t>Foreign Language Annals</w:t>
      </w:r>
      <w:r w:rsidRPr="00E824CF">
        <w:t xml:space="preserve">, </w:t>
      </w:r>
      <w:r w:rsidRPr="00E824CF">
        <w:rPr>
          <w:i/>
          <w:iCs/>
        </w:rPr>
        <w:t>36</w:t>
      </w:r>
      <w:r w:rsidRPr="00E824CF">
        <w:t>(4), 572-581.</w:t>
      </w:r>
      <w:r>
        <w:t xml:space="preserve"> </w:t>
      </w:r>
      <w:hyperlink r:id="rId17" w:history="1">
        <w:r w:rsidRPr="00E824CF">
          <w:rPr>
            <w:rStyle w:val="Hyperlink"/>
          </w:rPr>
          <w:t>https://doi.org/10.1111/j.1944-9720.2003.tb02147.x</w:t>
        </w:r>
      </w:hyperlink>
    </w:p>
    <w:bookmarkEnd w:id="1"/>
    <w:p w14:paraId="5DDD56E4" w14:textId="77777777" w:rsidR="00E824CF" w:rsidRPr="000927C3" w:rsidRDefault="00E824CF" w:rsidP="000927C3"/>
    <w:p w14:paraId="465D3782" w14:textId="77777777" w:rsidR="00112BE5" w:rsidRPr="000927C3" w:rsidRDefault="00112BE5" w:rsidP="000927C3">
      <w:pPr>
        <w:rPr>
          <w:rFonts w:eastAsia="Times New Roman"/>
        </w:rPr>
      </w:pPr>
      <w:proofErr w:type="spellStart"/>
      <w:r w:rsidRPr="000927C3">
        <w:rPr>
          <w:rFonts w:eastAsia="Times New Roman"/>
        </w:rPr>
        <w:t>Plengkham</w:t>
      </w:r>
      <w:proofErr w:type="spellEnd"/>
      <w:r w:rsidRPr="000927C3">
        <w:rPr>
          <w:rFonts w:eastAsia="Times New Roman"/>
        </w:rPr>
        <w:t xml:space="preserve">, B., &amp; </w:t>
      </w:r>
      <w:proofErr w:type="spellStart"/>
      <w:r w:rsidRPr="000927C3">
        <w:rPr>
          <w:rFonts w:eastAsia="Times New Roman"/>
        </w:rPr>
        <w:t>Wasanasomsithi</w:t>
      </w:r>
      <w:proofErr w:type="spellEnd"/>
      <w:r w:rsidRPr="000927C3">
        <w:rPr>
          <w:rFonts w:eastAsia="Times New Roman"/>
        </w:rPr>
        <w:t xml:space="preserve">, P. (2023). Effects of integrated performance assessment modules on English speaking ability of Thai EFL undergraduate students. </w:t>
      </w:r>
      <w:r w:rsidRPr="000927C3">
        <w:rPr>
          <w:rFonts w:eastAsia="Times New Roman"/>
          <w:i/>
          <w:iCs/>
        </w:rPr>
        <w:t>LEARN Journal: Language Education and Acquisition Research Network</w:t>
      </w:r>
      <w:r w:rsidRPr="000927C3">
        <w:rPr>
          <w:rFonts w:eastAsia="Times New Roman"/>
        </w:rPr>
        <w:t xml:space="preserve">, </w:t>
      </w:r>
      <w:r w:rsidRPr="000927C3">
        <w:rPr>
          <w:rFonts w:eastAsia="Times New Roman"/>
          <w:i/>
          <w:iCs/>
        </w:rPr>
        <w:t>16</w:t>
      </w:r>
      <w:r w:rsidRPr="000927C3">
        <w:rPr>
          <w:rFonts w:eastAsia="Times New Roman"/>
        </w:rPr>
        <w:t>(1), 448-472.</w:t>
      </w:r>
    </w:p>
    <w:p w14:paraId="1F3D1B1C" w14:textId="77777777" w:rsidR="008D4DC8" w:rsidRPr="000927C3" w:rsidRDefault="008D4DC8" w:rsidP="000927C3"/>
    <w:p w14:paraId="2C53A065" w14:textId="0645C18A" w:rsidR="008D4DC8" w:rsidRPr="000927C3" w:rsidRDefault="008D4DC8" w:rsidP="000927C3">
      <w:r w:rsidRPr="000927C3">
        <w:t xml:space="preserve">Schenck, S. (2016). We need the “how”: Exploring ways to prepare students for IPAs. </w:t>
      </w:r>
      <w:r w:rsidRPr="000927C3">
        <w:rPr>
          <w:i/>
        </w:rPr>
        <w:t>The Language Educator 11</w:t>
      </w:r>
      <w:r w:rsidRPr="000927C3">
        <w:t>(2), 39-41.</w:t>
      </w:r>
    </w:p>
    <w:p w14:paraId="0DCAAD55" w14:textId="336852E0" w:rsidR="006C246D" w:rsidRPr="000927C3" w:rsidRDefault="006C246D" w:rsidP="000927C3"/>
    <w:p w14:paraId="3AA08F9A" w14:textId="5B3640D7" w:rsidR="006C246D" w:rsidRPr="000927C3" w:rsidRDefault="006C246D" w:rsidP="000927C3">
      <w:pPr>
        <w:rPr>
          <w:rFonts w:eastAsia="Times New Roman"/>
        </w:rPr>
      </w:pPr>
      <w:proofErr w:type="spellStart"/>
      <w:r w:rsidRPr="000927C3">
        <w:rPr>
          <w:rFonts w:eastAsia="Times New Roman"/>
        </w:rPr>
        <w:t>Schnaithman</w:t>
      </w:r>
      <w:proofErr w:type="spellEnd"/>
      <w:r w:rsidRPr="000927C3">
        <w:rPr>
          <w:rFonts w:eastAsia="Times New Roman"/>
        </w:rPr>
        <w:t xml:space="preserve">, W. D. (2019). Developing and analyzing form and function of L2 Integrated Performance Assessments for diverse learners: Questioning the </w:t>
      </w:r>
      <w:r w:rsidR="00891E2B" w:rsidRPr="000927C3">
        <w:rPr>
          <w:rFonts w:eastAsia="Times New Roman"/>
        </w:rPr>
        <w:t>q</w:t>
      </w:r>
      <w:r w:rsidRPr="000927C3">
        <w:rPr>
          <w:rFonts w:eastAsia="Times New Roman"/>
        </w:rPr>
        <w:t>uestions. In</w:t>
      </w:r>
      <w:r w:rsidR="00C0418F" w:rsidRPr="000927C3">
        <w:rPr>
          <w:rFonts w:eastAsia="Times New Roman"/>
        </w:rPr>
        <w:t xml:space="preserve"> C. A. </w:t>
      </w:r>
      <w:proofErr w:type="spellStart"/>
      <w:r w:rsidR="00C0418F" w:rsidRPr="000927C3">
        <w:t>Lenkaitis</w:t>
      </w:r>
      <w:proofErr w:type="spellEnd"/>
      <w:r w:rsidR="00C0418F" w:rsidRPr="000927C3">
        <w:t xml:space="preserve"> &amp; S. M. Hilliker (Eds.),</w:t>
      </w:r>
      <w:r w:rsidRPr="000927C3">
        <w:rPr>
          <w:rFonts w:eastAsia="Times New Roman"/>
        </w:rPr>
        <w:t xml:space="preserve"> </w:t>
      </w:r>
      <w:r w:rsidRPr="000927C3">
        <w:rPr>
          <w:rFonts w:eastAsia="Times New Roman"/>
          <w:i/>
          <w:iCs/>
        </w:rPr>
        <w:t xml:space="preserve">Engaging </w:t>
      </w:r>
      <w:r w:rsidR="00C0418F" w:rsidRPr="000927C3">
        <w:rPr>
          <w:rFonts w:eastAsia="Times New Roman"/>
          <w:i/>
          <w:iCs/>
        </w:rPr>
        <w:t>t</w:t>
      </w:r>
      <w:r w:rsidRPr="000927C3">
        <w:rPr>
          <w:rFonts w:eastAsia="Times New Roman"/>
          <w:i/>
          <w:iCs/>
        </w:rPr>
        <w:t xml:space="preserve">eacher </w:t>
      </w:r>
      <w:r w:rsidR="00C0418F" w:rsidRPr="000927C3">
        <w:rPr>
          <w:rFonts w:eastAsia="Times New Roman"/>
          <w:i/>
          <w:iCs/>
        </w:rPr>
        <w:t>c</w:t>
      </w:r>
      <w:r w:rsidRPr="000927C3">
        <w:rPr>
          <w:rFonts w:eastAsia="Times New Roman"/>
          <w:i/>
          <w:iCs/>
        </w:rPr>
        <w:t xml:space="preserve">andidates and </w:t>
      </w:r>
      <w:r w:rsidR="00C0418F" w:rsidRPr="000927C3">
        <w:rPr>
          <w:rFonts w:eastAsia="Times New Roman"/>
          <w:i/>
          <w:iCs/>
        </w:rPr>
        <w:t>la</w:t>
      </w:r>
      <w:r w:rsidRPr="000927C3">
        <w:rPr>
          <w:rFonts w:eastAsia="Times New Roman"/>
          <w:i/>
          <w:iCs/>
        </w:rPr>
        <w:t xml:space="preserve">nguage </w:t>
      </w:r>
      <w:r w:rsidR="00C0418F" w:rsidRPr="000927C3">
        <w:rPr>
          <w:rFonts w:eastAsia="Times New Roman"/>
          <w:i/>
          <w:iCs/>
        </w:rPr>
        <w:t>l</w:t>
      </w:r>
      <w:r w:rsidRPr="000927C3">
        <w:rPr>
          <w:rFonts w:eastAsia="Times New Roman"/>
          <w:i/>
          <w:iCs/>
        </w:rPr>
        <w:t xml:space="preserve">earners </w:t>
      </w:r>
      <w:r w:rsidR="00C0418F" w:rsidRPr="000927C3">
        <w:rPr>
          <w:rFonts w:eastAsia="Times New Roman"/>
          <w:i/>
          <w:iCs/>
        </w:rPr>
        <w:t>w</w:t>
      </w:r>
      <w:r w:rsidRPr="000927C3">
        <w:rPr>
          <w:rFonts w:eastAsia="Times New Roman"/>
          <w:i/>
          <w:iCs/>
        </w:rPr>
        <w:t xml:space="preserve">ith </w:t>
      </w:r>
      <w:r w:rsidR="00C0418F" w:rsidRPr="000927C3">
        <w:rPr>
          <w:rFonts w:eastAsia="Times New Roman"/>
          <w:i/>
          <w:iCs/>
        </w:rPr>
        <w:t>a</w:t>
      </w:r>
      <w:r w:rsidRPr="000927C3">
        <w:rPr>
          <w:rFonts w:eastAsia="Times New Roman"/>
          <w:i/>
          <w:iCs/>
        </w:rPr>
        <w:t xml:space="preserve">uthentic </w:t>
      </w:r>
      <w:r w:rsidR="00C0418F" w:rsidRPr="000927C3">
        <w:rPr>
          <w:rFonts w:eastAsia="Times New Roman"/>
          <w:i/>
          <w:iCs/>
        </w:rPr>
        <w:t>p</w:t>
      </w:r>
      <w:r w:rsidRPr="000927C3">
        <w:rPr>
          <w:rFonts w:eastAsia="Times New Roman"/>
          <w:i/>
          <w:iCs/>
        </w:rPr>
        <w:t>ractice</w:t>
      </w:r>
      <w:r w:rsidRPr="000927C3">
        <w:rPr>
          <w:rFonts w:eastAsia="Times New Roman"/>
        </w:rPr>
        <w:t xml:space="preserve"> (pp. 252-287). IGI Global.</w:t>
      </w:r>
    </w:p>
    <w:p w14:paraId="4440204F" w14:textId="77777777" w:rsidR="006C246D" w:rsidRPr="000927C3" w:rsidRDefault="006C246D" w:rsidP="000927C3"/>
    <w:p w14:paraId="42024152" w14:textId="732283F0" w:rsidR="00922247" w:rsidRPr="000927C3" w:rsidRDefault="00922247" w:rsidP="000927C3">
      <w:pPr>
        <w:rPr>
          <w:rFonts w:eastAsia="Times New Roman"/>
        </w:rPr>
      </w:pPr>
      <w:r w:rsidRPr="000927C3">
        <w:rPr>
          <w:rFonts w:eastAsia="Times New Roman"/>
        </w:rPr>
        <w:t xml:space="preserve">Sedor, N. (2022). Integrated Performance Assessment (IPA): Implementation, task types, and feedback. </w:t>
      </w:r>
      <w:r w:rsidRPr="000927C3">
        <w:rPr>
          <w:rFonts w:eastAsia="Times New Roman"/>
          <w:i/>
          <w:iCs/>
        </w:rPr>
        <w:t>Foreign Language Annals, 56, 1</w:t>
      </w:r>
      <w:r w:rsidRPr="000927C3">
        <w:rPr>
          <w:rFonts w:eastAsia="Times New Roman"/>
        </w:rPr>
        <w:t>70-190.</w:t>
      </w:r>
      <w:r w:rsidR="00005DBF">
        <w:rPr>
          <w:rFonts w:eastAsia="Times New Roman"/>
        </w:rPr>
        <w:t xml:space="preserve"> </w:t>
      </w:r>
      <w:hyperlink r:id="rId18" w:history="1">
        <w:r w:rsidR="00005DBF" w:rsidRPr="00005DBF">
          <w:rPr>
            <w:rStyle w:val="Hyperlink"/>
            <w:rFonts w:eastAsia="Times New Roman"/>
          </w:rPr>
          <w:t>https://doi.org/10.1111/flan.12661</w:t>
        </w:r>
      </w:hyperlink>
    </w:p>
    <w:p w14:paraId="7D79F995" w14:textId="77777777" w:rsidR="00922247" w:rsidRPr="000927C3" w:rsidRDefault="00922247" w:rsidP="000927C3"/>
    <w:p w14:paraId="3EBF4A34" w14:textId="61F331BB" w:rsidR="00B613CC" w:rsidRPr="000927C3" w:rsidRDefault="00B613CC" w:rsidP="000927C3">
      <w:pPr>
        <w:rPr>
          <w:rFonts w:eastAsia="Times New Roman"/>
        </w:rPr>
      </w:pPr>
      <w:proofErr w:type="spellStart"/>
      <w:r w:rsidRPr="000927C3">
        <w:rPr>
          <w:rFonts w:eastAsia="Times New Roman"/>
        </w:rPr>
        <w:t>Sluijsmans</w:t>
      </w:r>
      <w:proofErr w:type="spellEnd"/>
      <w:r w:rsidRPr="000927C3">
        <w:rPr>
          <w:rFonts w:eastAsia="Times New Roman"/>
        </w:rPr>
        <w:t xml:space="preserve">, D., &amp; Martens, R. (2004). Performance assessment in integrated e-learning. In W. Jochems, R. Koper, &amp; J. van </w:t>
      </w:r>
      <w:proofErr w:type="spellStart"/>
      <w:r w:rsidRPr="000927C3">
        <w:rPr>
          <w:rFonts w:eastAsia="Times New Roman"/>
        </w:rPr>
        <w:t>Merrienboer</w:t>
      </w:r>
      <w:proofErr w:type="spellEnd"/>
      <w:r w:rsidRPr="000927C3">
        <w:rPr>
          <w:rFonts w:eastAsia="Times New Roman"/>
        </w:rPr>
        <w:t xml:space="preserve"> (Eds.), </w:t>
      </w:r>
      <w:r w:rsidRPr="000927C3">
        <w:rPr>
          <w:rFonts w:eastAsia="Times New Roman"/>
          <w:i/>
          <w:iCs/>
        </w:rPr>
        <w:t xml:space="preserve">Integrated </w:t>
      </w:r>
      <w:r w:rsidR="00993AAF">
        <w:rPr>
          <w:rFonts w:eastAsia="Times New Roman"/>
          <w:i/>
          <w:iCs/>
        </w:rPr>
        <w:t>e</w:t>
      </w:r>
      <w:r w:rsidRPr="000927C3">
        <w:rPr>
          <w:rFonts w:eastAsia="Times New Roman"/>
          <w:i/>
          <w:iCs/>
        </w:rPr>
        <w:t>-</w:t>
      </w:r>
      <w:r w:rsidR="00993AAF">
        <w:rPr>
          <w:rFonts w:eastAsia="Times New Roman"/>
          <w:i/>
          <w:iCs/>
        </w:rPr>
        <w:t>l</w:t>
      </w:r>
      <w:r w:rsidRPr="000927C3">
        <w:rPr>
          <w:rFonts w:eastAsia="Times New Roman"/>
          <w:i/>
          <w:iCs/>
        </w:rPr>
        <w:t>earning</w:t>
      </w:r>
      <w:r w:rsidRPr="000927C3">
        <w:rPr>
          <w:rFonts w:eastAsia="Times New Roman"/>
        </w:rPr>
        <w:t xml:space="preserve"> (pp. 51-62). Routledge.</w:t>
      </w:r>
    </w:p>
    <w:p w14:paraId="3C19362A" w14:textId="2E3FB550" w:rsidR="001616C1" w:rsidRPr="000927C3" w:rsidRDefault="001616C1" w:rsidP="000927C3">
      <w:pPr>
        <w:rPr>
          <w:rFonts w:eastAsia="Times New Roman"/>
        </w:rPr>
      </w:pPr>
    </w:p>
    <w:p w14:paraId="064D78EF" w14:textId="29DD3532" w:rsidR="0053225D" w:rsidRPr="000927C3" w:rsidRDefault="0053225D" w:rsidP="000927C3">
      <w:r w:rsidRPr="000927C3">
        <w:rPr>
          <w:rFonts w:eastAsia="Times New Roman"/>
        </w:rPr>
        <w:t xml:space="preserve">Stosich, E. L., Snyder, J., &amp; Wilczak, K. (2018). How do states integrate performance assessment in their systems of </w:t>
      </w:r>
      <w:proofErr w:type="gramStart"/>
      <w:r w:rsidRPr="000927C3">
        <w:rPr>
          <w:rFonts w:eastAsia="Times New Roman"/>
        </w:rPr>
        <w:t>assessment?.</w:t>
      </w:r>
      <w:proofErr w:type="gramEnd"/>
      <w:r w:rsidRPr="000927C3">
        <w:rPr>
          <w:rFonts w:eastAsia="Times New Roman"/>
        </w:rPr>
        <w:t xml:space="preserve"> </w:t>
      </w:r>
      <w:r w:rsidRPr="000927C3">
        <w:rPr>
          <w:rFonts w:eastAsia="Times New Roman"/>
          <w:i/>
          <w:iCs/>
        </w:rPr>
        <w:t>Education Policy Analysis Archives</w:t>
      </w:r>
      <w:r w:rsidRPr="000927C3">
        <w:rPr>
          <w:rFonts w:eastAsia="Times New Roman"/>
        </w:rPr>
        <w:t xml:space="preserve">, </w:t>
      </w:r>
      <w:r w:rsidRPr="000927C3">
        <w:rPr>
          <w:rFonts w:eastAsia="Times New Roman"/>
          <w:i/>
          <w:iCs/>
        </w:rPr>
        <w:t>26</w:t>
      </w:r>
      <w:r w:rsidRPr="000927C3">
        <w:rPr>
          <w:rFonts w:eastAsia="Times New Roman"/>
        </w:rPr>
        <w:t>(13), 1-31. https://files.eric.ed.gov/fulltext/EJ1169456.pdf</w:t>
      </w:r>
    </w:p>
    <w:p w14:paraId="77D8D498" w14:textId="4F7CDDBB" w:rsidR="003D700E" w:rsidRPr="000927C3" w:rsidRDefault="003D700E" w:rsidP="000927C3">
      <w:pPr>
        <w:rPr>
          <w:rFonts w:eastAsia="Times New Roman"/>
        </w:rPr>
      </w:pPr>
    </w:p>
    <w:p w14:paraId="4E52B954" w14:textId="76F3CE4F" w:rsidR="00D35D72" w:rsidRPr="000927C3" w:rsidRDefault="00D35D72" w:rsidP="000927C3">
      <w:pPr>
        <w:rPr>
          <w:rFonts w:eastAsia="Times New Roman"/>
        </w:rPr>
      </w:pPr>
      <w:r w:rsidRPr="000927C3">
        <w:rPr>
          <w:rFonts w:eastAsia="Times New Roman"/>
        </w:rPr>
        <w:t xml:space="preserve">Swanson, P., &amp; Goulette, E. (2018). The criticality of the integrated performance assessment in the world language </w:t>
      </w:r>
      <w:proofErr w:type="spellStart"/>
      <w:r w:rsidRPr="000927C3">
        <w:rPr>
          <w:rFonts w:eastAsia="Times New Roman"/>
        </w:rPr>
        <w:t>edTPA</w:t>
      </w:r>
      <w:proofErr w:type="spellEnd"/>
      <w:r w:rsidRPr="000927C3">
        <w:rPr>
          <w:rFonts w:eastAsia="Times New Roman"/>
        </w:rPr>
        <w:t xml:space="preserve">. </w:t>
      </w:r>
      <w:r w:rsidR="003B1E2B" w:rsidRPr="000927C3">
        <w:rPr>
          <w:rFonts w:eastAsia="Times New Roman"/>
        </w:rPr>
        <w:t xml:space="preserve">In P. Swanson &amp; S. Hildebrandt (Eds.), </w:t>
      </w:r>
      <w:r w:rsidRPr="000927C3">
        <w:rPr>
          <w:rFonts w:eastAsia="Times New Roman"/>
          <w:i/>
          <w:iCs/>
        </w:rPr>
        <w:t xml:space="preserve">Researching </w:t>
      </w:r>
      <w:proofErr w:type="spellStart"/>
      <w:r w:rsidRPr="000927C3">
        <w:rPr>
          <w:rFonts w:eastAsia="Times New Roman"/>
          <w:i/>
          <w:iCs/>
        </w:rPr>
        <w:t>edTPA</w:t>
      </w:r>
      <w:proofErr w:type="spellEnd"/>
      <w:r w:rsidRPr="000927C3">
        <w:rPr>
          <w:rFonts w:eastAsia="Times New Roman"/>
          <w:i/>
          <w:iCs/>
        </w:rPr>
        <w:t xml:space="preserve"> </w:t>
      </w:r>
      <w:r w:rsidRPr="000927C3">
        <w:rPr>
          <w:rFonts w:eastAsia="Times New Roman"/>
          <w:i/>
          <w:iCs/>
        </w:rPr>
        <w:lastRenderedPageBreak/>
        <w:t>promises and problems: Perspectives from English as an additional language, English language arts, and world language teacher education</w:t>
      </w:r>
      <w:r w:rsidRPr="000927C3">
        <w:rPr>
          <w:rFonts w:eastAsia="Times New Roman"/>
        </w:rPr>
        <w:t xml:space="preserve"> </w:t>
      </w:r>
      <w:r w:rsidR="003B1E2B" w:rsidRPr="000927C3">
        <w:rPr>
          <w:rFonts w:eastAsia="Times New Roman"/>
        </w:rPr>
        <w:t xml:space="preserve">(pp. </w:t>
      </w:r>
      <w:r w:rsidRPr="000927C3">
        <w:rPr>
          <w:rFonts w:eastAsia="Times New Roman"/>
        </w:rPr>
        <w:t>201-220</w:t>
      </w:r>
      <w:r w:rsidR="003B1E2B" w:rsidRPr="000927C3">
        <w:rPr>
          <w:rFonts w:eastAsia="Times New Roman"/>
        </w:rPr>
        <w:t>)</w:t>
      </w:r>
      <w:r w:rsidRPr="000927C3">
        <w:rPr>
          <w:rFonts w:eastAsia="Times New Roman"/>
        </w:rPr>
        <w:t>.</w:t>
      </w:r>
      <w:r w:rsidR="003B1E2B" w:rsidRPr="000927C3">
        <w:rPr>
          <w:rFonts w:eastAsia="Times New Roman"/>
        </w:rPr>
        <w:t xml:space="preserve"> Information Age Publishing. </w:t>
      </w:r>
    </w:p>
    <w:p w14:paraId="04533E48" w14:textId="5E27C640" w:rsidR="00D35D72" w:rsidRPr="000927C3" w:rsidRDefault="00D35D72" w:rsidP="000927C3">
      <w:pPr>
        <w:rPr>
          <w:rFonts w:eastAsia="Times New Roman"/>
        </w:rPr>
      </w:pPr>
    </w:p>
    <w:p w14:paraId="67E7E0A1" w14:textId="2B40EB1C" w:rsidR="008A1354" w:rsidRPr="000927C3" w:rsidRDefault="008A1354" w:rsidP="000927C3">
      <w:r w:rsidRPr="000927C3">
        <w:t>Swanson, P., &amp; Russell, V. (2022). Communicative online language teaching in disruptive times: A redesign of the introductory Spanish curriculum. https://scholarworks.gsu.edu/cgi/viewcontent.cgi?article=1088&amp;context=mcl_facpub</w:t>
      </w:r>
    </w:p>
    <w:p w14:paraId="4D93BF87" w14:textId="77777777" w:rsidR="008A1354" w:rsidRDefault="008A1354" w:rsidP="000927C3">
      <w:pPr>
        <w:rPr>
          <w:rFonts w:eastAsia="Times New Roman"/>
        </w:rPr>
      </w:pPr>
    </w:p>
    <w:p w14:paraId="72A7AB62" w14:textId="7C03168A" w:rsidR="000F0E3C" w:rsidRPr="000F0E3C" w:rsidRDefault="000F0E3C" w:rsidP="000F0E3C">
      <w:pPr>
        <w:rPr>
          <w:rFonts w:eastAsia="Times New Roman"/>
        </w:rPr>
      </w:pPr>
      <w:r w:rsidRPr="000F0E3C">
        <w:rPr>
          <w:rFonts w:eastAsia="Times New Roman"/>
        </w:rPr>
        <w:t xml:space="preserve">Tambunan, R. W., &amp; Kurniawan, H. (2024). An implementation of integrated performance assessment model in vocational English for communication learning. </w:t>
      </w:r>
      <w:r w:rsidRPr="000F0E3C">
        <w:rPr>
          <w:rFonts w:eastAsia="Times New Roman"/>
          <w:i/>
          <w:iCs/>
        </w:rPr>
        <w:t>JOALL (Journal of Applied Linguistics and Literature)</w:t>
      </w:r>
      <w:r w:rsidRPr="000F0E3C">
        <w:rPr>
          <w:rFonts w:eastAsia="Times New Roman"/>
        </w:rPr>
        <w:t xml:space="preserve">, </w:t>
      </w:r>
      <w:r w:rsidRPr="000F0E3C">
        <w:rPr>
          <w:rFonts w:eastAsia="Times New Roman"/>
          <w:i/>
          <w:iCs/>
        </w:rPr>
        <w:t>9</w:t>
      </w:r>
      <w:r w:rsidRPr="000F0E3C">
        <w:rPr>
          <w:rFonts w:eastAsia="Times New Roman"/>
        </w:rPr>
        <w:t>(1), 167-181.</w:t>
      </w:r>
      <w:r>
        <w:rPr>
          <w:rFonts w:eastAsia="Times New Roman"/>
        </w:rPr>
        <w:t xml:space="preserve"> </w:t>
      </w:r>
      <w:r w:rsidRPr="000F0E3C">
        <w:rPr>
          <w:rFonts w:eastAsia="Times New Roman"/>
        </w:rPr>
        <w:t>https://doi.org/10.33369/joall.v9i1.30876</w:t>
      </w:r>
    </w:p>
    <w:p w14:paraId="63CEB2A3" w14:textId="77777777" w:rsidR="000F0E3C" w:rsidRPr="000927C3" w:rsidRDefault="000F0E3C" w:rsidP="000927C3">
      <w:pPr>
        <w:rPr>
          <w:rFonts w:eastAsia="Times New Roman"/>
        </w:rPr>
      </w:pPr>
    </w:p>
    <w:p w14:paraId="748E06E7" w14:textId="77777777" w:rsidR="00A35923" w:rsidRPr="000927C3" w:rsidRDefault="00A35923" w:rsidP="000927C3">
      <w:pPr>
        <w:rPr>
          <w:rFonts w:eastAsia="Times New Roman"/>
        </w:rPr>
      </w:pPr>
      <w:r w:rsidRPr="000927C3">
        <w:rPr>
          <w:rFonts w:eastAsia="Times New Roman"/>
        </w:rPr>
        <w:t xml:space="preserve">Taylor, S. (2013). Integrating performance studies into the foreign language curriculum via digital media: New adventures in multiliteracies. </w:t>
      </w:r>
      <w:r w:rsidRPr="000927C3">
        <w:rPr>
          <w:rFonts w:eastAsia="Times New Roman"/>
          <w:i/>
          <w:iCs/>
        </w:rPr>
        <w:t>The French Review</w:t>
      </w:r>
      <w:r w:rsidRPr="000927C3">
        <w:rPr>
          <w:rFonts w:eastAsia="Times New Roman"/>
        </w:rPr>
        <w:t xml:space="preserve">, </w:t>
      </w:r>
      <w:r w:rsidRPr="000927C3">
        <w:rPr>
          <w:rFonts w:eastAsia="Times New Roman"/>
          <w:i/>
          <w:iCs/>
        </w:rPr>
        <w:t>87</w:t>
      </w:r>
      <w:r w:rsidRPr="000927C3">
        <w:rPr>
          <w:rFonts w:eastAsia="Times New Roman"/>
        </w:rPr>
        <w:t>(1), 113-124.</w:t>
      </w:r>
    </w:p>
    <w:p w14:paraId="36ED7A24" w14:textId="77777777" w:rsidR="00A35923" w:rsidRPr="000927C3" w:rsidRDefault="00A35923" w:rsidP="000927C3">
      <w:pPr>
        <w:rPr>
          <w:rFonts w:eastAsia="Times New Roman"/>
        </w:rPr>
      </w:pPr>
    </w:p>
    <w:p w14:paraId="5C044FBD" w14:textId="7C88B391" w:rsidR="00F121D9" w:rsidRPr="00F121D9" w:rsidRDefault="00F121D9" w:rsidP="000927C3">
      <w:pPr>
        <w:rPr>
          <w:rFonts w:eastAsia="Times New Roman"/>
        </w:rPr>
      </w:pPr>
      <w:proofErr w:type="spellStart"/>
      <w:r w:rsidRPr="00F121D9">
        <w:rPr>
          <w:rFonts w:eastAsia="Times New Roman"/>
        </w:rPr>
        <w:t>Tedick</w:t>
      </w:r>
      <w:proofErr w:type="spellEnd"/>
      <w:r w:rsidRPr="00F121D9">
        <w:rPr>
          <w:rFonts w:eastAsia="Times New Roman"/>
        </w:rPr>
        <w:t xml:space="preserve">, D., &amp; Cammarata, L. (2006). </w:t>
      </w:r>
      <w:r w:rsidRPr="00F121D9">
        <w:rPr>
          <w:rFonts w:eastAsia="Times New Roman"/>
          <w:i/>
          <w:iCs/>
        </w:rPr>
        <w:t>Integrated performance assessment: Adapting the model for CBI.</w:t>
      </w:r>
      <w:r w:rsidRPr="00F121D9">
        <w:rPr>
          <w:rFonts w:eastAsia="Times New Roman"/>
        </w:rPr>
        <w:t xml:space="preserve"> Center for Advanced Research on Language Acquisition (CARLA).</w:t>
      </w:r>
    </w:p>
    <w:p w14:paraId="47B67811" w14:textId="77777777" w:rsidR="00F121D9" w:rsidRPr="000927C3" w:rsidRDefault="00F121D9" w:rsidP="000927C3">
      <w:pPr>
        <w:rPr>
          <w:rFonts w:eastAsia="Times New Roman"/>
        </w:rPr>
      </w:pPr>
    </w:p>
    <w:p w14:paraId="0C06A18F" w14:textId="77777777" w:rsidR="003D700E" w:rsidRPr="000927C3" w:rsidRDefault="003D700E" w:rsidP="000927C3">
      <w:pPr>
        <w:rPr>
          <w:rFonts w:eastAsia="Times New Roman"/>
        </w:rPr>
      </w:pPr>
      <w:r w:rsidRPr="000927C3">
        <w:rPr>
          <w:rFonts w:eastAsia="Times New Roman"/>
        </w:rPr>
        <w:t xml:space="preserve">Troyan, F. (2007). Planning to meet a learning community’s needs. </w:t>
      </w:r>
      <w:r w:rsidRPr="000927C3">
        <w:rPr>
          <w:rFonts w:eastAsia="Times New Roman"/>
          <w:i/>
          <w:iCs/>
        </w:rPr>
        <w:t>NECTFL Review</w:t>
      </w:r>
      <w:r w:rsidRPr="000927C3">
        <w:rPr>
          <w:rFonts w:eastAsia="Times New Roman"/>
        </w:rPr>
        <w:t xml:space="preserve">, </w:t>
      </w:r>
      <w:r w:rsidRPr="000927C3">
        <w:rPr>
          <w:rFonts w:eastAsia="Times New Roman"/>
          <w:i/>
          <w:iCs/>
        </w:rPr>
        <w:t>61</w:t>
      </w:r>
      <w:r w:rsidRPr="000927C3">
        <w:rPr>
          <w:rFonts w:eastAsia="Times New Roman"/>
        </w:rPr>
        <w:t>, 141-151.</w:t>
      </w:r>
    </w:p>
    <w:p w14:paraId="5460C32E" w14:textId="77777777" w:rsidR="003D700E" w:rsidRPr="000927C3" w:rsidRDefault="003D700E" w:rsidP="000927C3">
      <w:pPr>
        <w:rPr>
          <w:rFonts w:eastAsia="Times New Roman"/>
        </w:rPr>
      </w:pPr>
    </w:p>
    <w:p w14:paraId="75709129" w14:textId="77777777" w:rsidR="003D700E" w:rsidRPr="000927C3" w:rsidRDefault="003D700E" w:rsidP="000927C3">
      <w:pPr>
        <w:rPr>
          <w:rFonts w:eastAsia="Times New Roman"/>
        </w:rPr>
      </w:pPr>
      <w:r w:rsidRPr="000927C3">
        <w:rPr>
          <w:rFonts w:eastAsia="Times New Roman"/>
        </w:rPr>
        <w:t xml:space="preserve">Troyan, F. J. (2008). Being authentic: Assessing standards-based tasks in a content-based curriculum. </w:t>
      </w:r>
      <w:r w:rsidRPr="000927C3">
        <w:rPr>
          <w:rFonts w:eastAsia="Times New Roman"/>
          <w:i/>
          <w:iCs/>
        </w:rPr>
        <w:t>The Language Educator</w:t>
      </w:r>
      <w:r w:rsidRPr="000927C3">
        <w:rPr>
          <w:rFonts w:eastAsia="Times New Roman"/>
        </w:rPr>
        <w:t xml:space="preserve">, </w:t>
      </w:r>
      <w:r w:rsidRPr="000927C3">
        <w:rPr>
          <w:rFonts w:eastAsia="Times New Roman"/>
          <w:i/>
          <w:iCs/>
        </w:rPr>
        <w:t>3</w:t>
      </w:r>
      <w:r w:rsidRPr="000927C3">
        <w:rPr>
          <w:rFonts w:eastAsia="Times New Roman"/>
        </w:rPr>
        <w:t>(4), 52-54.</w:t>
      </w:r>
    </w:p>
    <w:p w14:paraId="7A7DC428" w14:textId="77777777" w:rsidR="003D700E" w:rsidRPr="000927C3" w:rsidRDefault="003D700E" w:rsidP="000927C3">
      <w:pPr>
        <w:rPr>
          <w:rFonts w:eastAsia="Times New Roman"/>
        </w:rPr>
      </w:pPr>
    </w:p>
    <w:p w14:paraId="45DB32E2" w14:textId="77777777" w:rsidR="003D700E" w:rsidRPr="000927C3" w:rsidRDefault="003D700E" w:rsidP="000927C3">
      <w:pPr>
        <w:rPr>
          <w:rFonts w:eastAsia="Times New Roman"/>
        </w:rPr>
      </w:pPr>
      <w:r w:rsidRPr="000927C3">
        <w:rPr>
          <w:rFonts w:eastAsia="Times New Roman"/>
        </w:rPr>
        <w:t xml:space="preserve">Troyan, F. (2012). Standards for foreign language learning: Defining the constructs and researching learner outcomes. </w:t>
      </w:r>
      <w:r w:rsidRPr="000927C3">
        <w:rPr>
          <w:rFonts w:eastAsia="Times New Roman"/>
          <w:i/>
          <w:iCs/>
        </w:rPr>
        <w:t>Foreign Language Annals</w:t>
      </w:r>
      <w:r w:rsidRPr="000927C3">
        <w:rPr>
          <w:rFonts w:eastAsia="Times New Roman"/>
        </w:rPr>
        <w:t xml:space="preserve">, </w:t>
      </w:r>
      <w:r w:rsidRPr="000927C3">
        <w:rPr>
          <w:rFonts w:eastAsia="Times New Roman"/>
          <w:i/>
          <w:iCs/>
        </w:rPr>
        <w:t>45</w:t>
      </w:r>
      <w:r w:rsidRPr="000927C3">
        <w:rPr>
          <w:rFonts w:eastAsia="Times New Roman"/>
        </w:rPr>
        <w:t>(S1), S118–S140.</w:t>
      </w:r>
    </w:p>
    <w:p w14:paraId="6637E222" w14:textId="77777777" w:rsidR="003D700E" w:rsidRPr="000927C3" w:rsidRDefault="003D700E" w:rsidP="000927C3">
      <w:pPr>
        <w:rPr>
          <w:rFonts w:eastAsia="Times New Roman"/>
        </w:rPr>
      </w:pPr>
    </w:p>
    <w:p w14:paraId="08EB2392" w14:textId="26FD332B" w:rsidR="003D700E" w:rsidRPr="000927C3" w:rsidRDefault="003D700E" w:rsidP="000927C3">
      <w:pPr>
        <w:rPr>
          <w:rFonts w:eastAsia="Times New Roman"/>
        </w:rPr>
      </w:pPr>
      <w:r w:rsidRPr="000927C3">
        <w:rPr>
          <w:rFonts w:eastAsia="Times New Roman"/>
        </w:rPr>
        <w:t xml:space="preserve">Troyan, F. (2016). Assessing what matters within content-based foreign language teaching through Integrated Performance Assessment. In L. Cammarata (Ed.), </w:t>
      </w:r>
      <w:r w:rsidRPr="000927C3">
        <w:rPr>
          <w:rFonts w:eastAsia="Times New Roman"/>
          <w:i/>
        </w:rPr>
        <w:t>Content-based foreign language teaching: Curriculum and pedagogy for developing advanced thinking and literacy skills</w:t>
      </w:r>
      <w:r w:rsidRPr="000927C3">
        <w:rPr>
          <w:rFonts w:eastAsia="Times New Roman"/>
        </w:rPr>
        <w:t xml:space="preserve"> (pp. 147-169). Routledge. </w:t>
      </w:r>
    </w:p>
    <w:p w14:paraId="3FC05D20" w14:textId="77777777" w:rsidR="003D700E" w:rsidRPr="000927C3" w:rsidRDefault="003D700E" w:rsidP="000927C3">
      <w:pPr>
        <w:rPr>
          <w:rFonts w:eastAsia="Times New Roman"/>
        </w:rPr>
      </w:pPr>
    </w:p>
    <w:p w14:paraId="1C2B39DF" w14:textId="4B3AFE04" w:rsidR="00966BF0" w:rsidRPr="000927C3" w:rsidRDefault="00966BF0" w:rsidP="000927C3">
      <w:pPr>
        <w:rPr>
          <w:rFonts w:eastAsia="Times New Roman"/>
        </w:rPr>
      </w:pPr>
      <w:r w:rsidRPr="000927C3">
        <w:rPr>
          <w:rFonts w:eastAsia="Times New Roman"/>
        </w:rPr>
        <w:t>Wu, J. (2023). Implementation of Integrated Performance Assessment (IPA) at postsecondary Mandarin Chinese classes. https://scholarspace.manoa.hawaii.edu/server/api/core/bitstreams/a1b88ac8-4bc5-4ce3-9b0c-10c07cfe7eb1/content</w:t>
      </w:r>
    </w:p>
    <w:p w14:paraId="5AB1656E" w14:textId="77777777" w:rsidR="00966BF0" w:rsidRPr="000927C3" w:rsidRDefault="00966BF0" w:rsidP="000927C3">
      <w:pPr>
        <w:rPr>
          <w:rFonts w:eastAsia="Times New Roman"/>
        </w:rPr>
      </w:pPr>
    </w:p>
    <w:p w14:paraId="40E90DC8" w14:textId="12C39EAD" w:rsidR="00C33A7A" w:rsidRPr="00C33A7A" w:rsidRDefault="00C33A7A" w:rsidP="000927C3">
      <w:pPr>
        <w:rPr>
          <w:rFonts w:eastAsia="Times New Roman"/>
        </w:rPr>
      </w:pPr>
      <w:r w:rsidRPr="00C33A7A">
        <w:rPr>
          <w:rFonts w:eastAsia="Times New Roman"/>
        </w:rPr>
        <w:t xml:space="preserve">Yu, G. (2013). From integrative to integrated language assessment: Are we there </w:t>
      </w:r>
      <w:proofErr w:type="gramStart"/>
      <w:r w:rsidRPr="00C33A7A">
        <w:rPr>
          <w:rFonts w:eastAsia="Times New Roman"/>
        </w:rPr>
        <w:t>yet?.</w:t>
      </w:r>
      <w:proofErr w:type="gramEnd"/>
      <w:r w:rsidRPr="00C33A7A">
        <w:rPr>
          <w:rFonts w:eastAsia="Times New Roman"/>
        </w:rPr>
        <w:t xml:space="preserve"> </w:t>
      </w:r>
      <w:r w:rsidRPr="00C33A7A">
        <w:rPr>
          <w:rFonts w:eastAsia="Times New Roman"/>
          <w:i/>
          <w:iCs/>
        </w:rPr>
        <w:t>Language Assessment Quarterly</w:t>
      </w:r>
      <w:r w:rsidRPr="00C33A7A">
        <w:rPr>
          <w:rFonts w:eastAsia="Times New Roman"/>
        </w:rPr>
        <w:t xml:space="preserve">, </w:t>
      </w:r>
      <w:r w:rsidRPr="00C33A7A">
        <w:rPr>
          <w:rFonts w:eastAsia="Times New Roman"/>
          <w:i/>
          <w:iCs/>
        </w:rPr>
        <w:t>10</w:t>
      </w:r>
      <w:r w:rsidRPr="00C33A7A">
        <w:rPr>
          <w:rFonts w:eastAsia="Times New Roman"/>
        </w:rPr>
        <w:t>(1), 110-114.</w:t>
      </w:r>
      <w:r w:rsidR="00993AAF">
        <w:rPr>
          <w:rFonts w:eastAsia="Times New Roman"/>
        </w:rPr>
        <w:t xml:space="preserve"> </w:t>
      </w:r>
      <w:hyperlink r:id="rId19" w:history="1">
        <w:r w:rsidR="00993AAF" w:rsidRPr="00993AAF">
          <w:rPr>
            <w:rStyle w:val="Hyperlink"/>
            <w:rFonts w:eastAsia="Times New Roman"/>
          </w:rPr>
          <w:t>https://doi.org/10.1080/15434303.2013.766744</w:t>
        </w:r>
      </w:hyperlink>
    </w:p>
    <w:p w14:paraId="192DF3BB" w14:textId="77777777" w:rsidR="00C33A7A" w:rsidRPr="000927C3" w:rsidRDefault="00C33A7A" w:rsidP="000927C3">
      <w:pPr>
        <w:rPr>
          <w:rFonts w:eastAsia="Times New Roman"/>
        </w:rPr>
      </w:pPr>
    </w:p>
    <w:p w14:paraId="4222775C" w14:textId="77777777" w:rsidR="00653449" w:rsidRPr="00653449" w:rsidRDefault="003D700E" w:rsidP="00653449">
      <w:r w:rsidRPr="000927C3">
        <w:t xml:space="preserve">Zapata, G. C. (2016). University students' perceptions of Integrated Performance Assessments and the connection between classroom learning and assessment. </w:t>
      </w:r>
      <w:r w:rsidRPr="000927C3">
        <w:rPr>
          <w:i/>
          <w:iCs/>
        </w:rPr>
        <w:t>Foreign Language Annals, 49</w:t>
      </w:r>
      <w:r w:rsidRPr="000927C3">
        <w:t>(1), 93-104.</w:t>
      </w:r>
      <w:r w:rsidR="00653449">
        <w:t xml:space="preserve"> </w:t>
      </w:r>
      <w:hyperlink r:id="rId20" w:history="1">
        <w:r w:rsidR="00653449" w:rsidRPr="00653449">
          <w:rPr>
            <w:rStyle w:val="Hyperlink"/>
          </w:rPr>
          <w:t>https://doi.org/10.1111/flan.12176</w:t>
        </w:r>
      </w:hyperlink>
    </w:p>
    <w:p w14:paraId="51C15A3C" w14:textId="3F49D7BE" w:rsidR="003D700E" w:rsidRPr="000927C3" w:rsidRDefault="003D700E" w:rsidP="000927C3"/>
    <w:p w14:paraId="0273B25B" w14:textId="77777777" w:rsidR="00113FE5" w:rsidRPr="000927C3" w:rsidRDefault="00113FE5" w:rsidP="000927C3"/>
    <w:sectPr w:rsidR="00113FE5" w:rsidRPr="000927C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914E2" w14:textId="77777777" w:rsidR="00076EE1" w:rsidRDefault="00076EE1" w:rsidP="008A5550">
      <w:r>
        <w:separator/>
      </w:r>
    </w:p>
  </w:endnote>
  <w:endnote w:type="continuationSeparator" w:id="0">
    <w:p w14:paraId="754F9550" w14:textId="77777777" w:rsidR="00076EE1" w:rsidRDefault="00076EE1" w:rsidP="008A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4F3F" w14:textId="42CB5FAF" w:rsidR="008A5550" w:rsidRPr="000D0FA5" w:rsidRDefault="000D0FA5" w:rsidP="000D0FA5">
    <w:pPr>
      <w:pStyle w:val="Footer"/>
      <w:ind w:left="0" w:firstLine="0"/>
      <w:jc w:val="right"/>
      <w:rPr>
        <w:rStyle w:val="PageNumber"/>
      </w:rPr>
    </w:pPr>
    <w:r w:rsidRPr="000D0FA5">
      <w:rPr>
        <w:rStyle w:val="PageNumber"/>
      </w:rPr>
      <w:fldChar w:fldCharType="begin"/>
    </w:r>
    <w:r w:rsidRPr="000D0FA5">
      <w:rPr>
        <w:rStyle w:val="PageNumber"/>
      </w:rPr>
      <w:instrText xml:space="preserve"> PAGE   \* MERGEFORMAT </w:instrText>
    </w:r>
    <w:r w:rsidRPr="000D0FA5">
      <w:rPr>
        <w:rStyle w:val="PageNumber"/>
      </w:rPr>
      <w:fldChar w:fldCharType="separate"/>
    </w:r>
    <w:r w:rsidRPr="000D0FA5">
      <w:rPr>
        <w:rStyle w:val="PageNumber"/>
        <w:noProof/>
      </w:rPr>
      <w:t>1</w:t>
    </w:r>
    <w:r w:rsidRPr="000D0FA5">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A528" w14:textId="77777777" w:rsidR="00076EE1" w:rsidRDefault="00076EE1" w:rsidP="008A5550">
      <w:r>
        <w:separator/>
      </w:r>
    </w:p>
  </w:footnote>
  <w:footnote w:type="continuationSeparator" w:id="0">
    <w:p w14:paraId="5FE760C7" w14:textId="77777777" w:rsidR="00076EE1" w:rsidRDefault="00076EE1" w:rsidP="008A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D480" w14:textId="77777777" w:rsidR="000D0FA5" w:rsidRPr="00C959CF" w:rsidRDefault="000D0FA5" w:rsidP="000D0FA5">
    <w:pPr>
      <w:pStyle w:val="Header"/>
    </w:pPr>
    <w:r>
      <w:rPr>
        <w:noProof/>
      </w:rPr>
      <w:drawing>
        <wp:anchor distT="0" distB="0" distL="114300" distR="114300" simplePos="0" relativeHeight="251664384" behindDoc="1" locked="0" layoutInCell="1" allowOverlap="1" wp14:anchorId="6DC4D963" wp14:editId="33D48F38">
          <wp:simplePos x="0" y="0"/>
          <wp:positionH relativeFrom="column">
            <wp:posOffset>4251960</wp:posOffset>
          </wp:positionH>
          <wp:positionV relativeFrom="paragraph">
            <wp:posOffset>-358140</wp:posOffset>
          </wp:positionV>
          <wp:extent cx="2377440" cy="694944"/>
          <wp:effectExtent l="0" t="0" r="381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9737" t="20908" r="10300" b="22273"/>
                  <a:stretch/>
                </pic:blipFill>
                <pic:spPr bwMode="auto">
                  <a:xfrm>
                    <a:off x="0" y="0"/>
                    <a:ext cx="2377440" cy="694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C8732AE" wp14:editId="69B02728">
          <wp:simplePos x="0" y="0"/>
          <wp:positionH relativeFrom="column">
            <wp:posOffset>-716280</wp:posOffset>
          </wp:positionH>
          <wp:positionV relativeFrom="paragraph">
            <wp:posOffset>-365760</wp:posOffset>
          </wp:positionV>
          <wp:extent cx="3413760" cy="69215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3760" cy="692150"/>
                  </a:xfrm>
                  <a:prstGeom prst="rect">
                    <a:avLst/>
                  </a:prstGeom>
                  <a:noFill/>
                  <a:ln>
                    <a:noFill/>
                  </a:ln>
                </pic:spPr>
              </pic:pic>
            </a:graphicData>
          </a:graphic>
        </wp:anchor>
      </w:drawing>
    </w:r>
  </w:p>
  <w:p w14:paraId="6BA836A1" w14:textId="77777777" w:rsidR="008A5550" w:rsidRPr="000D0FA5" w:rsidRDefault="008A5550" w:rsidP="000D0FA5">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D2"/>
    <w:rsid w:val="00005DBF"/>
    <w:rsid w:val="00012D11"/>
    <w:rsid w:val="00012DC1"/>
    <w:rsid w:val="0001333D"/>
    <w:rsid w:val="00021AC2"/>
    <w:rsid w:val="00027A64"/>
    <w:rsid w:val="00066AE2"/>
    <w:rsid w:val="00076EE1"/>
    <w:rsid w:val="000927C3"/>
    <w:rsid w:val="000B2A13"/>
    <w:rsid w:val="000D0FA5"/>
    <w:rsid w:val="000D1C23"/>
    <w:rsid w:val="000D4B90"/>
    <w:rsid w:val="000D6119"/>
    <w:rsid w:val="000E0B48"/>
    <w:rsid w:val="000F0E3C"/>
    <w:rsid w:val="000F153D"/>
    <w:rsid w:val="00112BE5"/>
    <w:rsid w:val="00113FE5"/>
    <w:rsid w:val="00145FB8"/>
    <w:rsid w:val="00150249"/>
    <w:rsid w:val="00151A30"/>
    <w:rsid w:val="001600F6"/>
    <w:rsid w:val="001616C1"/>
    <w:rsid w:val="00167D3B"/>
    <w:rsid w:val="001C0165"/>
    <w:rsid w:val="001F0C68"/>
    <w:rsid w:val="001F3AB1"/>
    <w:rsid w:val="00223AE7"/>
    <w:rsid w:val="002457D2"/>
    <w:rsid w:val="00245E97"/>
    <w:rsid w:val="00272033"/>
    <w:rsid w:val="00287CE2"/>
    <w:rsid w:val="002C6D6E"/>
    <w:rsid w:val="002D7B39"/>
    <w:rsid w:val="00304CFB"/>
    <w:rsid w:val="00311F24"/>
    <w:rsid w:val="00324AFF"/>
    <w:rsid w:val="0033565D"/>
    <w:rsid w:val="00337600"/>
    <w:rsid w:val="00337ED2"/>
    <w:rsid w:val="0034058C"/>
    <w:rsid w:val="00346127"/>
    <w:rsid w:val="003678B8"/>
    <w:rsid w:val="003B036B"/>
    <w:rsid w:val="003B1E2B"/>
    <w:rsid w:val="003D700E"/>
    <w:rsid w:val="003E3EF8"/>
    <w:rsid w:val="00407721"/>
    <w:rsid w:val="0045121A"/>
    <w:rsid w:val="004521AF"/>
    <w:rsid w:val="004D0B1D"/>
    <w:rsid w:val="004E4BF2"/>
    <w:rsid w:val="0053225D"/>
    <w:rsid w:val="00575D42"/>
    <w:rsid w:val="00581F3E"/>
    <w:rsid w:val="005859DC"/>
    <w:rsid w:val="005A7661"/>
    <w:rsid w:val="005B50FA"/>
    <w:rsid w:val="005C5036"/>
    <w:rsid w:val="005F777C"/>
    <w:rsid w:val="0061760A"/>
    <w:rsid w:val="00630D8E"/>
    <w:rsid w:val="00640E7D"/>
    <w:rsid w:val="00653449"/>
    <w:rsid w:val="006C246D"/>
    <w:rsid w:val="006C3575"/>
    <w:rsid w:val="00704003"/>
    <w:rsid w:val="00722747"/>
    <w:rsid w:val="00731F02"/>
    <w:rsid w:val="00737F53"/>
    <w:rsid w:val="00774685"/>
    <w:rsid w:val="007B2CDF"/>
    <w:rsid w:val="007B33A6"/>
    <w:rsid w:val="007E0F1B"/>
    <w:rsid w:val="008269AA"/>
    <w:rsid w:val="00843CC3"/>
    <w:rsid w:val="0086229A"/>
    <w:rsid w:val="008650CB"/>
    <w:rsid w:val="00867838"/>
    <w:rsid w:val="00871C5B"/>
    <w:rsid w:val="00876191"/>
    <w:rsid w:val="00891E2B"/>
    <w:rsid w:val="008A1354"/>
    <w:rsid w:val="008A3CD1"/>
    <w:rsid w:val="008A5550"/>
    <w:rsid w:val="008C0B06"/>
    <w:rsid w:val="008D4DC8"/>
    <w:rsid w:val="008F2273"/>
    <w:rsid w:val="009015BE"/>
    <w:rsid w:val="009155CE"/>
    <w:rsid w:val="00922247"/>
    <w:rsid w:val="009268F0"/>
    <w:rsid w:val="00966BF0"/>
    <w:rsid w:val="00993AAF"/>
    <w:rsid w:val="009A25EB"/>
    <w:rsid w:val="009B4B28"/>
    <w:rsid w:val="009C007B"/>
    <w:rsid w:val="009C4AEA"/>
    <w:rsid w:val="009D556C"/>
    <w:rsid w:val="00A050C8"/>
    <w:rsid w:val="00A31DD2"/>
    <w:rsid w:val="00A324DD"/>
    <w:rsid w:val="00A347F3"/>
    <w:rsid w:val="00A35923"/>
    <w:rsid w:val="00AB13DC"/>
    <w:rsid w:val="00AC70AF"/>
    <w:rsid w:val="00AE249D"/>
    <w:rsid w:val="00AE4A62"/>
    <w:rsid w:val="00B03F54"/>
    <w:rsid w:val="00B06536"/>
    <w:rsid w:val="00B116B5"/>
    <w:rsid w:val="00B43C7E"/>
    <w:rsid w:val="00B613CC"/>
    <w:rsid w:val="00B817D8"/>
    <w:rsid w:val="00B843F0"/>
    <w:rsid w:val="00BA2F5B"/>
    <w:rsid w:val="00BC3BB4"/>
    <w:rsid w:val="00BD5EB7"/>
    <w:rsid w:val="00BF3E58"/>
    <w:rsid w:val="00C0418F"/>
    <w:rsid w:val="00C14C3A"/>
    <w:rsid w:val="00C22446"/>
    <w:rsid w:val="00C33A7A"/>
    <w:rsid w:val="00CA08D6"/>
    <w:rsid w:val="00CD5BDA"/>
    <w:rsid w:val="00CE36C5"/>
    <w:rsid w:val="00CE71BB"/>
    <w:rsid w:val="00CF34A8"/>
    <w:rsid w:val="00D16F16"/>
    <w:rsid w:val="00D35D72"/>
    <w:rsid w:val="00D44B85"/>
    <w:rsid w:val="00D95F0A"/>
    <w:rsid w:val="00DC7BC3"/>
    <w:rsid w:val="00DD4A83"/>
    <w:rsid w:val="00DE2515"/>
    <w:rsid w:val="00E11E3E"/>
    <w:rsid w:val="00E2038A"/>
    <w:rsid w:val="00E26DAB"/>
    <w:rsid w:val="00E339A8"/>
    <w:rsid w:val="00E356F1"/>
    <w:rsid w:val="00E53388"/>
    <w:rsid w:val="00E824CF"/>
    <w:rsid w:val="00EC175C"/>
    <w:rsid w:val="00ED2641"/>
    <w:rsid w:val="00F121D9"/>
    <w:rsid w:val="00F4235A"/>
    <w:rsid w:val="00F5145E"/>
    <w:rsid w:val="00F543C7"/>
    <w:rsid w:val="00F82B27"/>
    <w:rsid w:val="00F914D8"/>
    <w:rsid w:val="00FA7654"/>
    <w:rsid w:val="00FD134E"/>
    <w:rsid w:val="00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62096"/>
  <w15:docId w15:val="{C5511586-FAC0-49BA-8507-E87206EB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47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5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A5550"/>
    <w:pPr>
      <w:tabs>
        <w:tab w:val="center" w:pos="4680"/>
        <w:tab w:val="right" w:pos="9360"/>
      </w:tabs>
    </w:pPr>
  </w:style>
  <w:style w:type="character" w:customStyle="1" w:styleId="HeaderChar">
    <w:name w:val="Header Char"/>
    <w:basedOn w:val="DefaultParagraphFont"/>
    <w:link w:val="Header"/>
    <w:uiPriority w:val="99"/>
    <w:rsid w:val="008A5550"/>
  </w:style>
  <w:style w:type="paragraph" w:styleId="Footer">
    <w:name w:val="footer"/>
    <w:basedOn w:val="Normal"/>
    <w:link w:val="FooterChar"/>
    <w:unhideWhenUsed/>
    <w:rsid w:val="008A5550"/>
    <w:pPr>
      <w:tabs>
        <w:tab w:val="center" w:pos="4680"/>
        <w:tab w:val="right" w:pos="9360"/>
      </w:tabs>
    </w:pPr>
  </w:style>
  <w:style w:type="character" w:customStyle="1" w:styleId="FooterChar">
    <w:name w:val="Footer Char"/>
    <w:basedOn w:val="DefaultParagraphFont"/>
    <w:link w:val="Footer"/>
    <w:uiPriority w:val="99"/>
    <w:rsid w:val="008A5550"/>
  </w:style>
  <w:style w:type="character" w:styleId="PageNumber">
    <w:name w:val="page number"/>
    <w:basedOn w:val="DefaultParagraphFont"/>
    <w:rsid w:val="008A5550"/>
  </w:style>
  <w:style w:type="paragraph" w:customStyle="1" w:styleId="Body">
    <w:name w:val="Body"/>
    <w:rsid w:val="00113FE5"/>
    <w:pPr>
      <w:pBdr>
        <w:top w:val="nil"/>
        <w:left w:val="nil"/>
        <w:bottom w:val="nil"/>
        <w:right w:val="nil"/>
        <w:between w:val="nil"/>
        <w:bar w:val="nil"/>
      </w:pBdr>
      <w:spacing w:after="200" w:line="276" w:lineRule="auto"/>
      <w:ind w:left="0" w:firstLine="0"/>
    </w:pPr>
    <w:rPr>
      <w:rFonts w:ascii="Calibri" w:eastAsia="Calibri" w:hAnsi="Calibri" w:cs="Calibri"/>
      <w:color w:val="000000"/>
      <w:sz w:val="22"/>
      <w:szCs w:val="22"/>
      <w:u w:color="000000"/>
      <w:bdr w:val="nil"/>
    </w:rPr>
  </w:style>
  <w:style w:type="paragraph" w:customStyle="1" w:styleId="PhDReference">
    <w:name w:val="PhD Reference"/>
    <w:basedOn w:val="Normal"/>
    <w:qFormat/>
    <w:rsid w:val="00113FE5"/>
    <w:pPr>
      <w:spacing w:after="180"/>
      <w:ind w:left="454" w:hanging="454"/>
    </w:pPr>
    <w:rPr>
      <w:rFonts w:eastAsiaTheme="minorEastAsia"/>
      <w:szCs w:val="22"/>
      <w:lang w:val="en-AU"/>
    </w:rPr>
  </w:style>
  <w:style w:type="character" w:styleId="Emphasis">
    <w:name w:val="Emphasis"/>
    <w:basedOn w:val="DefaultParagraphFont"/>
    <w:uiPriority w:val="20"/>
    <w:qFormat/>
    <w:rsid w:val="00113FE5"/>
    <w:rPr>
      <w:i/>
      <w:iCs/>
    </w:rPr>
  </w:style>
  <w:style w:type="paragraph" w:styleId="NormalWeb">
    <w:name w:val="Normal (Web)"/>
    <w:basedOn w:val="Normal"/>
    <w:uiPriority w:val="99"/>
    <w:unhideWhenUsed/>
    <w:rsid w:val="00113FE5"/>
    <w:pPr>
      <w:spacing w:before="100" w:beforeAutospacing="1" w:after="100" w:afterAutospacing="1"/>
      <w:ind w:left="0" w:firstLine="0"/>
    </w:pPr>
    <w:rPr>
      <w:rFonts w:eastAsia="Times New Roman"/>
    </w:rPr>
  </w:style>
  <w:style w:type="paragraph" w:customStyle="1" w:styleId="reference">
    <w:name w:val="reference"/>
    <w:basedOn w:val="Normal"/>
    <w:rsid w:val="00113FE5"/>
    <w:pPr>
      <w:spacing w:line="180" w:lineRule="exact"/>
      <w:ind w:left="187" w:hanging="187"/>
    </w:pPr>
    <w:rPr>
      <w:rFonts w:ascii="Times" w:eastAsia="Times New Roman" w:hAnsi="Times"/>
      <w:sz w:val="20"/>
      <w:szCs w:val="20"/>
      <w:lang w:eastAsia="zh-CN"/>
    </w:rPr>
  </w:style>
  <w:style w:type="character" w:customStyle="1" w:styleId="Heading4Char">
    <w:name w:val="Heading 4 Char"/>
    <w:basedOn w:val="DefaultParagraphFont"/>
    <w:link w:val="Heading4"/>
    <w:uiPriority w:val="9"/>
    <w:semiHidden/>
    <w:rsid w:val="00A347F3"/>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A347F3"/>
    <w:pPr>
      <w:ind w:left="0" w:firstLine="0"/>
    </w:pPr>
    <w:rPr>
      <w:rFonts w:ascii="Arial" w:eastAsia="Times New Roman" w:hAnsi="Arial"/>
      <w:b/>
      <w:szCs w:val="20"/>
      <w:lang w:eastAsia="en-GB"/>
    </w:rPr>
  </w:style>
  <w:style w:type="character" w:customStyle="1" w:styleId="BodyTextChar">
    <w:name w:val="Body Text Char"/>
    <w:basedOn w:val="DefaultParagraphFont"/>
    <w:link w:val="BodyText"/>
    <w:semiHidden/>
    <w:rsid w:val="00A347F3"/>
    <w:rPr>
      <w:rFonts w:ascii="Arial" w:eastAsia="Times New Roman" w:hAnsi="Arial"/>
      <w:b/>
      <w:szCs w:val="20"/>
      <w:lang w:eastAsia="en-GB"/>
    </w:rPr>
  </w:style>
  <w:style w:type="character" w:styleId="Hyperlink">
    <w:name w:val="Hyperlink"/>
    <w:basedOn w:val="DefaultParagraphFont"/>
    <w:uiPriority w:val="99"/>
    <w:unhideWhenUsed/>
    <w:rsid w:val="00A347F3"/>
    <w:rPr>
      <w:color w:val="0000FF"/>
      <w:u w:val="single"/>
    </w:rPr>
  </w:style>
  <w:style w:type="character" w:styleId="UnresolvedMention">
    <w:name w:val="Unresolved Mention"/>
    <w:basedOn w:val="DefaultParagraphFont"/>
    <w:uiPriority w:val="99"/>
    <w:semiHidden/>
    <w:unhideWhenUsed/>
    <w:rsid w:val="0000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282">
      <w:bodyDiv w:val="1"/>
      <w:marLeft w:val="0"/>
      <w:marRight w:val="0"/>
      <w:marTop w:val="0"/>
      <w:marBottom w:val="0"/>
      <w:divBdr>
        <w:top w:val="none" w:sz="0" w:space="0" w:color="auto"/>
        <w:left w:val="none" w:sz="0" w:space="0" w:color="auto"/>
        <w:bottom w:val="none" w:sz="0" w:space="0" w:color="auto"/>
        <w:right w:val="none" w:sz="0" w:space="0" w:color="auto"/>
      </w:divBdr>
      <w:divsChild>
        <w:div w:id="1481533878">
          <w:marLeft w:val="0"/>
          <w:marRight w:val="0"/>
          <w:marTop w:val="0"/>
          <w:marBottom w:val="0"/>
          <w:divBdr>
            <w:top w:val="none" w:sz="0" w:space="0" w:color="auto"/>
            <w:left w:val="none" w:sz="0" w:space="0" w:color="auto"/>
            <w:bottom w:val="none" w:sz="0" w:space="0" w:color="auto"/>
            <w:right w:val="none" w:sz="0" w:space="0" w:color="auto"/>
          </w:divBdr>
        </w:div>
      </w:divsChild>
    </w:div>
    <w:div w:id="108354653">
      <w:bodyDiv w:val="1"/>
      <w:marLeft w:val="0"/>
      <w:marRight w:val="0"/>
      <w:marTop w:val="0"/>
      <w:marBottom w:val="0"/>
      <w:divBdr>
        <w:top w:val="none" w:sz="0" w:space="0" w:color="auto"/>
        <w:left w:val="none" w:sz="0" w:space="0" w:color="auto"/>
        <w:bottom w:val="none" w:sz="0" w:space="0" w:color="auto"/>
        <w:right w:val="none" w:sz="0" w:space="0" w:color="auto"/>
      </w:divBdr>
      <w:divsChild>
        <w:div w:id="2010021450">
          <w:marLeft w:val="0"/>
          <w:marRight w:val="0"/>
          <w:marTop w:val="0"/>
          <w:marBottom w:val="0"/>
          <w:divBdr>
            <w:top w:val="none" w:sz="0" w:space="0" w:color="auto"/>
            <w:left w:val="none" w:sz="0" w:space="0" w:color="auto"/>
            <w:bottom w:val="none" w:sz="0" w:space="0" w:color="auto"/>
            <w:right w:val="none" w:sz="0" w:space="0" w:color="auto"/>
          </w:divBdr>
        </w:div>
      </w:divsChild>
    </w:div>
    <w:div w:id="141699347">
      <w:bodyDiv w:val="1"/>
      <w:marLeft w:val="0"/>
      <w:marRight w:val="0"/>
      <w:marTop w:val="0"/>
      <w:marBottom w:val="0"/>
      <w:divBdr>
        <w:top w:val="none" w:sz="0" w:space="0" w:color="auto"/>
        <w:left w:val="none" w:sz="0" w:space="0" w:color="auto"/>
        <w:bottom w:val="none" w:sz="0" w:space="0" w:color="auto"/>
        <w:right w:val="none" w:sz="0" w:space="0" w:color="auto"/>
      </w:divBdr>
      <w:divsChild>
        <w:div w:id="1769307068">
          <w:marLeft w:val="0"/>
          <w:marRight w:val="0"/>
          <w:marTop w:val="0"/>
          <w:marBottom w:val="0"/>
          <w:divBdr>
            <w:top w:val="none" w:sz="0" w:space="0" w:color="auto"/>
            <w:left w:val="none" w:sz="0" w:space="0" w:color="auto"/>
            <w:bottom w:val="none" w:sz="0" w:space="0" w:color="auto"/>
            <w:right w:val="none" w:sz="0" w:space="0" w:color="auto"/>
          </w:divBdr>
        </w:div>
      </w:divsChild>
    </w:div>
    <w:div w:id="187526848">
      <w:bodyDiv w:val="1"/>
      <w:marLeft w:val="0"/>
      <w:marRight w:val="0"/>
      <w:marTop w:val="0"/>
      <w:marBottom w:val="0"/>
      <w:divBdr>
        <w:top w:val="none" w:sz="0" w:space="0" w:color="auto"/>
        <w:left w:val="none" w:sz="0" w:space="0" w:color="auto"/>
        <w:bottom w:val="none" w:sz="0" w:space="0" w:color="auto"/>
        <w:right w:val="none" w:sz="0" w:space="0" w:color="auto"/>
      </w:divBdr>
      <w:divsChild>
        <w:div w:id="1765760604">
          <w:marLeft w:val="0"/>
          <w:marRight w:val="0"/>
          <w:marTop w:val="0"/>
          <w:marBottom w:val="0"/>
          <w:divBdr>
            <w:top w:val="none" w:sz="0" w:space="0" w:color="auto"/>
            <w:left w:val="none" w:sz="0" w:space="0" w:color="auto"/>
            <w:bottom w:val="none" w:sz="0" w:space="0" w:color="auto"/>
            <w:right w:val="none" w:sz="0" w:space="0" w:color="auto"/>
          </w:divBdr>
        </w:div>
      </w:divsChild>
    </w:div>
    <w:div w:id="187720737">
      <w:bodyDiv w:val="1"/>
      <w:marLeft w:val="0"/>
      <w:marRight w:val="0"/>
      <w:marTop w:val="0"/>
      <w:marBottom w:val="0"/>
      <w:divBdr>
        <w:top w:val="none" w:sz="0" w:space="0" w:color="auto"/>
        <w:left w:val="none" w:sz="0" w:space="0" w:color="auto"/>
        <w:bottom w:val="none" w:sz="0" w:space="0" w:color="auto"/>
        <w:right w:val="none" w:sz="0" w:space="0" w:color="auto"/>
      </w:divBdr>
      <w:divsChild>
        <w:div w:id="1058627541">
          <w:marLeft w:val="0"/>
          <w:marRight w:val="0"/>
          <w:marTop w:val="0"/>
          <w:marBottom w:val="0"/>
          <w:divBdr>
            <w:top w:val="none" w:sz="0" w:space="0" w:color="auto"/>
            <w:left w:val="none" w:sz="0" w:space="0" w:color="auto"/>
            <w:bottom w:val="none" w:sz="0" w:space="0" w:color="auto"/>
            <w:right w:val="none" w:sz="0" w:space="0" w:color="auto"/>
          </w:divBdr>
        </w:div>
      </w:divsChild>
    </w:div>
    <w:div w:id="215437193">
      <w:bodyDiv w:val="1"/>
      <w:marLeft w:val="0"/>
      <w:marRight w:val="0"/>
      <w:marTop w:val="0"/>
      <w:marBottom w:val="0"/>
      <w:divBdr>
        <w:top w:val="none" w:sz="0" w:space="0" w:color="auto"/>
        <w:left w:val="none" w:sz="0" w:space="0" w:color="auto"/>
        <w:bottom w:val="none" w:sz="0" w:space="0" w:color="auto"/>
        <w:right w:val="none" w:sz="0" w:space="0" w:color="auto"/>
      </w:divBdr>
      <w:divsChild>
        <w:div w:id="451825753">
          <w:marLeft w:val="0"/>
          <w:marRight w:val="0"/>
          <w:marTop w:val="0"/>
          <w:marBottom w:val="0"/>
          <w:divBdr>
            <w:top w:val="none" w:sz="0" w:space="0" w:color="auto"/>
            <w:left w:val="none" w:sz="0" w:space="0" w:color="auto"/>
            <w:bottom w:val="none" w:sz="0" w:space="0" w:color="auto"/>
            <w:right w:val="none" w:sz="0" w:space="0" w:color="auto"/>
          </w:divBdr>
        </w:div>
      </w:divsChild>
    </w:div>
    <w:div w:id="221411396">
      <w:bodyDiv w:val="1"/>
      <w:marLeft w:val="0"/>
      <w:marRight w:val="0"/>
      <w:marTop w:val="0"/>
      <w:marBottom w:val="0"/>
      <w:divBdr>
        <w:top w:val="none" w:sz="0" w:space="0" w:color="auto"/>
        <w:left w:val="none" w:sz="0" w:space="0" w:color="auto"/>
        <w:bottom w:val="none" w:sz="0" w:space="0" w:color="auto"/>
        <w:right w:val="none" w:sz="0" w:space="0" w:color="auto"/>
      </w:divBdr>
      <w:divsChild>
        <w:div w:id="1081176552">
          <w:marLeft w:val="0"/>
          <w:marRight w:val="0"/>
          <w:marTop w:val="0"/>
          <w:marBottom w:val="0"/>
          <w:divBdr>
            <w:top w:val="none" w:sz="0" w:space="0" w:color="auto"/>
            <w:left w:val="none" w:sz="0" w:space="0" w:color="auto"/>
            <w:bottom w:val="none" w:sz="0" w:space="0" w:color="auto"/>
            <w:right w:val="none" w:sz="0" w:space="0" w:color="auto"/>
          </w:divBdr>
        </w:div>
      </w:divsChild>
    </w:div>
    <w:div w:id="246109695">
      <w:bodyDiv w:val="1"/>
      <w:marLeft w:val="0"/>
      <w:marRight w:val="0"/>
      <w:marTop w:val="0"/>
      <w:marBottom w:val="0"/>
      <w:divBdr>
        <w:top w:val="none" w:sz="0" w:space="0" w:color="auto"/>
        <w:left w:val="none" w:sz="0" w:space="0" w:color="auto"/>
        <w:bottom w:val="none" w:sz="0" w:space="0" w:color="auto"/>
        <w:right w:val="none" w:sz="0" w:space="0" w:color="auto"/>
      </w:divBdr>
      <w:divsChild>
        <w:div w:id="1973363294">
          <w:marLeft w:val="0"/>
          <w:marRight w:val="0"/>
          <w:marTop w:val="0"/>
          <w:marBottom w:val="0"/>
          <w:divBdr>
            <w:top w:val="none" w:sz="0" w:space="0" w:color="auto"/>
            <w:left w:val="none" w:sz="0" w:space="0" w:color="auto"/>
            <w:bottom w:val="none" w:sz="0" w:space="0" w:color="auto"/>
            <w:right w:val="none" w:sz="0" w:space="0" w:color="auto"/>
          </w:divBdr>
        </w:div>
      </w:divsChild>
    </w:div>
    <w:div w:id="252204316">
      <w:bodyDiv w:val="1"/>
      <w:marLeft w:val="0"/>
      <w:marRight w:val="0"/>
      <w:marTop w:val="0"/>
      <w:marBottom w:val="0"/>
      <w:divBdr>
        <w:top w:val="none" w:sz="0" w:space="0" w:color="auto"/>
        <w:left w:val="none" w:sz="0" w:space="0" w:color="auto"/>
        <w:bottom w:val="none" w:sz="0" w:space="0" w:color="auto"/>
        <w:right w:val="none" w:sz="0" w:space="0" w:color="auto"/>
      </w:divBdr>
      <w:divsChild>
        <w:div w:id="1312633506">
          <w:marLeft w:val="0"/>
          <w:marRight w:val="0"/>
          <w:marTop w:val="0"/>
          <w:marBottom w:val="0"/>
          <w:divBdr>
            <w:top w:val="none" w:sz="0" w:space="0" w:color="auto"/>
            <w:left w:val="none" w:sz="0" w:space="0" w:color="auto"/>
            <w:bottom w:val="none" w:sz="0" w:space="0" w:color="auto"/>
            <w:right w:val="none" w:sz="0" w:space="0" w:color="auto"/>
          </w:divBdr>
        </w:div>
      </w:divsChild>
    </w:div>
    <w:div w:id="257757768">
      <w:bodyDiv w:val="1"/>
      <w:marLeft w:val="0"/>
      <w:marRight w:val="0"/>
      <w:marTop w:val="0"/>
      <w:marBottom w:val="0"/>
      <w:divBdr>
        <w:top w:val="none" w:sz="0" w:space="0" w:color="auto"/>
        <w:left w:val="none" w:sz="0" w:space="0" w:color="auto"/>
        <w:bottom w:val="none" w:sz="0" w:space="0" w:color="auto"/>
        <w:right w:val="none" w:sz="0" w:space="0" w:color="auto"/>
      </w:divBdr>
      <w:divsChild>
        <w:div w:id="754084338">
          <w:marLeft w:val="0"/>
          <w:marRight w:val="0"/>
          <w:marTop w:val="0"/>
          <w:marBottom w:val="0"/>
          <w:divBdr>
            <w:top w:val="none" w:sz="0" w:space="0" w:color="auto"/>
            <w:left w:val="none" w:sz="0" w:space="0" w:color="auto"/>
            <w:bottom w:val="none" w:sz="0" w:space="0" w:color="auto"/>
            <w:right w:val="none" w:sz="0" w:space="0" w:color="auto"/>
          </w:divBdr>
        </w:div>
      </w:divsChild>
    </w:div>
    <w:div w:id="260332555">
      <w:bodyDiv w:val="1"/>
      <w:marLeft w:val="0"/>
      <w:marRight w:val="0"/>
      <w:marTop w:val="0"/>
      <w:marBottom w:val="0"/>
      <w:divBdr>
        <w:top w:val="none" w:sz="0" w:space="0" w:color="auto"/>
        <w:left w:val="none" w:sz="0" w:space="0" w:color="auto"/>
        <w:bottom w:val="none" w:sz="0" w:space="0" w:color="auto"/>
        <w:right w:val="none" w:sz="0" w:space="0" w:color="auto"/>
      </w:divBdr>
      <w:divsChild>
        <w:div w:id="1290085499">
          <w:marLeft w:val="0"/>
          <w:marRight w:val="0"/>
          <w:marTop w:val="0"/>
          <w:marBottom w:val="0"/>
          <w:divBdr>
            <w:top w:val="none" w:sz="0" w:space="0" w:color="auto"/>
            <w:left w:val="none" w:sz="0" w:space="0" w:color="auto"/>
            <w:bottom w:val="none" w:sz="0" w:space="0" w:color="auto"/>
            <w:right w:val="none" w:sz="0" w:space="0" w:color="auto"/>
          </w:divBdr>
        </w:div>
      </w:divsChild>
    </w:div>
    <w:div w:id="266691635">
      <w:bodyDiv w:val="1"/>
      <w:marLeft w:val="0"/>
      <w:marRight w:val="0"/>
      <w:marTop w:val="0"/>
      <w:marBottom w:val="0"/>
      <w:divBdr>
        <w:top w:val="none" w:sz="0" w:space="0" w:color="auto"/>
        <w:left w:val="none" w:sz="0" w:space="0" w:color="auto"/>
        <w:bottom w:val="none" w:sz="0" w:space="0" w:color="auto"/>
        <w:right w:val="none" w:sz="0" w:space="0" w:color="auto"/>
      </w:divBdr>
      <w:divsChild>
        <w:div w:id="1355350543">
          <w:marLeft w:val="0"/>
          <w:marRight w:val="0"/>
          <w:marTop w:val="0"/>
          <w:marBottom w:val="0"/>
          <w:divBdr>
            <w:top w:val="none" w:sz="0" w:space="0" w:color="auto"/>
            <w:left w:val="none" w:sz="0" w:space="0" w:color="auto"/>
            <w:bottom w:val="none" w:sz="0" w:space="0" w:color="auto"/>
            <w:right w:val="none" w:sz="0" w:space="0" w:color="auto"/>
          </w:divBdr>
        </w:div>
      </w:divsChild>
    </w:div>
    <w:div w:id="270600006">
      <w:bodyDiv w:val="1"/>
      <w:marLeft w:val="0"/>
      <w:marRight w:val="0"/>
      <w:marTop w:val="0"/>
      <w:marBottom w:val="0"/>
      <w:divBdr>
        <w:top w:val="none" w:sz="0" w:space="0" w:color="auto"/>
        <w:left w:val="none" w:sz="0" w:space="0" w:color="auto"/>
        <w:bottom w:val="none" w:sz="0" w:space="0" w:color="auto"/>
        <w:right w:val="none" w:sz="0" w:space="0" w:color="auto"/>
      </w:divBdr>
      <w:divsChild>
        <w:div w:id="835608109">
          <w:marLeft w:val="0"/>
          <w:marRight w:val="0"/>
          <w:marTop w:val="0"/>
          <w:marBottom w:val="0"/>
          <w:divBdr>
            <w:top w:val="none" w:sz="0" w:space="0" w:color="auto"/>
            <w:left w:val="none" w:sz="0" w:space="0" w:color="auto"/>
            <w:bottom w:val="none" w:sz="0" w:space="0" w:color="auto"/>
            <w:right w:val="none" w:sz="0" w:space="0" w:color="auto"/>
          </w:divBdr>
        </w:div>
      </w:divsChild>
    </w:div>
    <w:div w:id="282688353">
      <w:bodyDiv w:val="1"/>
      <w:marLeft w:val="0"/>
      <w:marRight w:val="0"/>
      <w:marTop w:val="0"/>
      <w:marBottom w:val="0"/>
      <w:divBdr>
        <w:top w:val="none" w:sz="0" w:space="0" w:color="auto"/>
        <w:left w:val="none" w:sz="0" w:space="0" w:color="auto"/>
        <w:bottom w:val="none" w:sz="0" w:space="0" w:color="auto"/>
        <w:right w:val="none" w:sz="0" w:space="0" w:color="auto"/>
      </w:divBdr>
      <w:divsChild>
        <w:div w:id="867181210">
          <w:marLeft w:val="0"/>
          <w:marRight w:val="0"/>
          <w:marTop w:val="0"/>
          <w:marBottom w:val="0"/>
          <w:divBdr>
            <w:top w:val="none" w:sz="0" w:space="0" w:color="auto"/>
            <w:left w:val="none" w:sz="0" w:space="0" w:color="auto"/>
            <w:bottom w:val="none" w:sz="0" w:space="0" w:color="auto"/>
            <w:right w:val="none" w:sz="0" w:space="0" w:color="auto"/>
          </w:divBdr>
        </w:div>
      </w:divsChild>
    </w:div>
    <w:div w:id="322704218">
      <w:bodyDiv w:val="1"/>
      <w:marLeft w:val="0"/>
      <w:marRight w:val="0"/>
      <w:marTop w:val="0"/>
      <w:marBottom w:val="0"/>
      <w:divBdr>
        <w:top w:val="none" w:sz="0" w:space="0" w:color="auto"/>
        <w:left w:val="none" w:sz="0" w:space="0" w:color="auto"/>
        <w:bottom w:val="none" w:sz="0" w:space="0" w:color="auto"/>
        <w:right w:val="none" w:sz="0" w:space="0" w:color="auto"/>
      </w:divBdr>
      <w:divsChild>
        <w:div w:id="1512329542">
          <w:marLeft w:val="0"/>
          <w:marRight w:val="0"/>
          <w:marTop w:val="0"/>
          <w:marBottom w:val="0"/>
          <w:divBdr>
            <w:top w:val="none" w:sz="0" w:space="0" w:color="auto"/>
            <w:left w:val="none" w:sz="0" w:space="0" w:color="auto"/>
            <w:bottom w:val="none" w:sz="0" w:space="0" w:color="auto"/>
            <w:right w:val="none" w:sz="0" w:space="0" w:color="auto"/>
          </w:divBdr>
        </w:div>
      </w:divsChild>
    </w:div>
    <w:div w:id="349912051">
      <w:bodyDiv w:val="1"/>
      <w:marLeft w:val="0"/>
      <w:marRight w:val="0"/>
      <w:marTop w:val="0"/>
      <w:marBottom w:val="0"/>
      <w:divBdr>
        <w:top w:val="none" w:sz="0" w:space="0" w:color="auto"/>
        <w:left w:val="none" w:sz="0" w:space="0" w:color="auto"/>
        <w:bottom w:val="none" w:sz="0" w:space="0" w:color="auto"/>
        <w:right w:val="none" w:sz="0" w:space="0" w:color="auto"/>
      </w:divBdr>
      <w:divsChild>
        <w:div w:id="22562454">
          <w:marLeft w:val="0"/>
          <w:marRight w:val="0"/>
          <w:marTop w:val="0"/>
          <w:marBottom w:val="0"/>
          <w:divBdr>
            <w:top w:val="none" w:sz="0" w:space="0" w:color="auto"/>
            <w:left w:val="none" w:sz="0" w:space="0" w:color="auto"/>
            <w:bottom w:val="none" w:sz="0" w:space="0" w:color="auto"/>
            <w:right w:val="none" w:sz="0" w:space="0" w:color="auto"/>
          </w:divBdr>
        </w:div>
      </w:divsChild>
    </w:div>
    <w:div w:id="380911281">
      <w:bodyDiv w:val="1"/>
      <w:marLeft w:val="0"/>
      <w:marRight w:val="0"/>
      <w:marTop w:val="0"/>
      <w:marBottom w:val="0"/>
      <w:divBdr>
        <w:top w:val="none" w:sz="0" w:space="0" w:color="auto"/>
        <w:left w:val="none" w:sz="0" w:space="0" w:color="auto"/>
        <w:bottom w:val="none" w:sz="0" w:space="0" w:color="auto"/>
        <w:right w:val="none" w:sz="0" w:space="0" w:color="auto"/>
      </w:divBdr>
      <w:divsChild>
        <w:div w:id="460727733">
          <w:marLeft w:val="0"/>
          <w:marRight w:val="0"/>
          <w:marTop w:val="0"/>
          <w:marBottom w:val="0"/>
          <w:divBdr>
            <w:top w:val="none" w:sz="0" w:space="0" w:color="auto"/>
            <w:left w:val="none" w:sz="0" w:space="0" w:color="auto"/>
            <w:bottom w:val="none" w:sz="0" w:space="0" w:color="auto"/>
            <w:right w:val="none" w:sz="0" w:space="0" w:color="auto"/>
          </w:divBdr>
        </w:div>
      </w:divsChild>
    </w:div>
    <w:div w:id="390733687">
      <w:bodyDiv w:val="1"/>
      <w:marLeft w:val="0"/>
      <w:marRight w:val="0"/>
      <w:marTop w:val="0"/>
      <w:marBottom w:val="0"/>
      <w:divBdr>
        <w:top w:val="none" w:sz="0" w:space="0" w:color="auto"/>
        <w:left w:val="none" w:sz="0" w:space="0" w:color="auto"/>
        <w:bottom w:val="none" w:sz="0" w:space="0" w:color="auto"/>
        <w:right w:val="none" w:sz="0" w:space="0" w:color="auto"/>
      </w:divBdr>
      <w:divsChild>
        <w:div w:id="122120560">
          <w:marLeft w:val="0"/>
          <w:marRight w:val="0"/>
          <w:marTop w:val="0"/>
          <w:marBottom w:val="0"/>
          <w:divBdr>
            <w:top w:val="none" w:sz="0" w:space="0" w:color="auto"/>
            <w:left w:val="none" w:sz="0" w:space="0" w:color="auto"/>
            <w:bottom w:val="none" w:sz="0" w:space="0" w:color="auto"/>
            <w:right w:val="none" w:sz="0" w:space="0" w:color="auto"/>
          </w:divBdr>
        </w:div>
      </w:divsChild>
    </w:div>
    <w:div w:id="394402874">
      <w:bodyDiv w:val="1"/>
      <w:marLeft w:val="0"/>
      <w:marRight w:val="0"/>
      <w:marTop w:val="0"/>
      <w:marBottom w:val="0"/>
      <w:divBdr>
        <w:top w:val="none" w:sz="0" w:space="0" w:color="auto"/>
        <w:left w:val="none" w:sz="0" w:space="0" w:color="auto"/>
        <w:bottom w:val="none" w:sz="0" w:space="0" w:color="auto"/>
        <w:right w:val="none" w:sz="0" w:space="0" w:color="auto"/>
      </w:divBdr>
      <w:divsChild>
        <w:div w:id="2036733874">
          <w:marLeft w:val="0"/>
          <w:marRight w:val="0"/>
          <w:marTop w:val="0"/>
          <w:marBottom w:val="0"/>
          <w:divBdr>
            <w:top w:val="none" w:sz="0" w:space="0" w:color="auto"/>
            <w:left w:val="none" w:sz="0" w:space="0" w:color="auto"/>
            <w:bottom w:val="none" w:sz="0" w:space="0" w:color="auto"/>
            <w:right w:val="none" w:sz="0" w:space="0" w:color="auto"/>
          </w:divBdr>
        </w:div>
      </w:divsChild>
    </w:div>
    <w:div w:id="395277017">
      <w:bodyDiv w:val="1"/>
      <w:marLeft w:val="0"/>
      <w:marRight w:val="0"/>
      <w:marTop w:val="0"/>
      <w:marBottom w:val="0"/>
      <w:divBdr>
        <w:top w:val="none" w:sz="0" w:space="0" w:color="auto"/>
        <w:left w:val="none" w:sz="0" w:space="0" w:color="auto"/>
        <w:bottom w:val="none" w:sz="0" w:space="0" w:color="auto"/>
        <w:right w:val="none" w:sz="0" w:space="0" w:color="auto"/>
      </w:divBdr>
      <w:divsChild>
        <w:div w:id="1551184977">
          <w:marLeft w:val="0"/>
          <w:marRight w:val="0"/>
          <w:marTop w:val="0"/>
          <w:marBottom w:val="0"/>
          <w:divBdr>
            <w:top w:val="none" w:sz="0" w:space="0" w:color="auto"/>
            <w:left w:val="none" w:sz="0" w:space="0" w:color="auto"/>
            <w:bottom w:val="none" w:sz="0" w:space="0" w:color="auto"/>
            <w:right w:val="none" w:sz="0" w:space="0" w:color="auto"/>
          </w:divBdr>
        </w:div>
      </w:divsChild>
    </w:div>
    <w:div w:id="432550266">
      <w:bodyDiv w:val="1"/>
      <w:marLeft w:val="0"/>
      <w:marRight w:val="0"/>
      <w:marTop w:val="0"/>
      <w:marBottom w:val="0"/>
      <w:divBdr>
        <w:top w:val="none" w:sz="0" w:space="0" w:color="auto"/>
        <w:left w:val="none" w:sz="0" w:space="0" w:color="auto"/>
        <w:bottom w:val="none" w:sz="0" w:space="0" w:color="auto"/>
        <w:right w:val="none" w:sz="0" w:space="0" w:color="auto"/>
      </w:divBdr>
      <w:divsChild>
        <w:div w:id="1974167697">
          <w:marLeft w:val="0"/>
          <w:marRight w:val="0"/>
          <w:marTop w:val="0"/>
          <w:marBottom w:val="0"/>
          <w:divBdr>
            <w:top w:val="none" w:sz="0" w:space="0" w:color="auto"/>
            <w:left w:val="none" w:sz="0" w:space="0" w:color="auto"/>
            <w:bottom w:val="none" w:sz="0" w:space="0" w:color="auto"/>
            <w:right w:val="none" w:sz="0" w:space="0" w:color="auto"/>
          </w:divBdr>
        </w:div>
      </w:divsChild>
    </w:div>
    <w:div w:id="432751639">
      <w:bodyDiv w:val="1"/>
      <w:marLeft w:val="0"/>
      <w:marRight w:val="0"/>
      <w:marTop w:val="0"/>
      <w:marBottom w:val="0"/>
      <w:divBdr>
        <w:top w:val="none" w:sz="0" w:space="0" w:color="auto"/>
        <w:left w:val="none" w:sz="0" w:space="0" w:color="auto"/>
        <w:bottom w:val="none" w:sz="0" w:space="0" w:color="auto"/>
        <w:right w:val="none" w:sz="0" w:space="0" w:color="auto"/>
      </w:divBdr>
      <w:divsChild>
        <w:div w:id="262152225">
          <w:marLeft w:val="0"/>
          <w:marRight w:val="0"/>
          <w:marTop w:val="0"/>
          <w:marBottom w:val="0"/>
          <w:divBdr>
            <w:top w:val="none" w:sz="0" w:space="0" w:color="auto"/>
            <w:left w:val="none" w:sz="0" w:space="0" w:color="auto"/>
            <w:bottom w:val="none" w:sz="0" w:space="0" w:color="auto"/>
            <w:right w:val="none" w:sz="0" w:space="0" w:color="auto"/>
          </w:divBdr>
        </w:div>
      </w:divsChild>
    </w:div>
    <w:div w:id="433599731">
      <w:bodyDiv w:val="1"/>
      <w:marLeft w:val="0"/>
      <w:marRight w:val="0"/>
      <w:marTop w:val="0"/>
      <w:marBottom w:val="0"/>
      <w:divBdr>
        <w:top w:val="none" w:sz="0" w:space="0" w:color="auto"/>
        <w:left w:val="none" w:sz="0" w:space="0" w:color="auto"/>
        <w:bottom w:val="none" w:sz="0" w:space="0" w:color="auto"/>
        <w:right w:val="none" w:sz="0" w:space="0" w:color="auto"/>
      </w:divBdr>
      <w:divsChild>
        <w:div w:id="544173428">
          <w:marLeft w:val="0"/>
          <w:marRight w:val="0"/>
          <w:marTop w:val="0"/>
          <w:marBottom w:val="0"/>
          <w:divBdr>
            <w:top w:val="none" w:sz="0" w:space="0" w:color="auto"/>
            <w:left w:val="none" w:sz="0" w:space="0" w:color="auto"/>
            <w:bottom w:val="none" w:sz="0" w:space="0" w:color="auto"/>
            <w:right w:val="none" w:sz="0" w:space="0" w:color="auto"/>
          </w:divBdr>
        </w:div>
      </w:divsChild>
    </w:div>
    <w:div w:id="443886997">
      <w:bodyDiv w:val="1"/>
      <w:marLeft w:val="0"/>
      <w:marRight w:val="0"/>
      <w:marTop w:val="0"/>
      <w:marBottom w:val="0"/>
      <w:divBdr>
        <w:top w:val="none" w:sz="0" w:space="0" w:color="auto"/>
        <w:left w:val="none" w:sz="0" w:space="0" w:color="auto"/>
        <w:bottom w:val="none" w:sz="0" w:space="0" w:color="auto"/>
        <w:right w:val="none" w:sz="0" w:space="0" w:color="auto"/>
      </w:divBdr>
      <w:divsChild>
        <w:div w:id="555705841">
          <w:marLeft w:val="0"/>
          <w:marRight w:val="0"/>
          <w:marTop w:val="0"/>
          <w:marBottom w:val="0"/>
          <w:divBdr>
            <w:top w:val="none" w:sz="0" w:space="0" w:color="auto"/>
            <w:left w:val="none" w:sz="0" w:space="0" w:color="auto"/>
            <w:bottom w:val="none" w:sz="0" w:space="0" w:color="auto"/>
            <w:right w:val="none" w:sz="0" w:space="0" w:color="auto"/>
          </w:divBdr>
        </w:div>
        <w:div w:id="1864974198">
          <w:marLeft w:val="0"/>
          <w:marRight w:val="0"/>
          <w:marTop w:val="0"/>
          <w:marBottom w:val="0"/>
          <w:divBdr>
            <w:top w:val="none" w:sz="0" w:space="0" w:color="auto"/>
            <w:left w:val="none" w:sz="0" w:space="0" w:color="auto"/>
            <w:bottom w:val="none" w:sz="0" w:space="0" w:color="auto"/>
            <w:right w:val="none" w:sz="0" w:space="0" w:color="auto"/>
          </w:divBdr>
        </w:div>
      </w:divsChild>
    </w:div>
    <w:div w:id="448479421">
      <w:bodyDiv w:val="1"/>
      <w:marLeft w:val="0"/>
      <w:marRight w:val="0"/>
      <w:marTop w:val="0"/>
      <w:marBottom w:val="0"/>
      <w:divBdr>
        <w:top w:val="none" w:sz="0" w:space="0" w:color="auto"/>
        <w:left w:val="none" w:sz="0" w:space="0" w:color="auto"/>
        <w:bottom w:val="none" w:sz="0" w:space="0" w:color="auto"/>
        <w:right w:val="none" w:sz="0" w:space="0" w:color="auto"/>
      </w:divBdr>
      <w:divsChild>
        <w:div w:id="953367560">
          <w:marLeft w:val="0"/>
          <w:marRight w:val="0"/>
          <w:marTop w:val="0"/>
          <w:marBottom w:val="0"/>
          <w:divBdr>
            <w:top w:val="none" w:sz="0" w:space="0" w:color="auto"/>
            <w:left w:val="none" w:sz="0" w:space="0" w:color="auto"/>
            <w:bottom w:val="none" w:sz="0" w:space="0" w:color="auto"/>
            <w:right w:val="none" w:sz="0" w:space="0" w:color="auto"/>
          </w:divBdr>
        </w:div>
      </w:divsChild>
    </w:div>
    <w:div w:id="492373566">
      <w:bodyDiv w:val="1"/>
      <w:marLeft w:val="0"/>
      <w:marRight w:val="0"/>
      <w:marTop w:val="0"/>
      <w:marBottom w:val="0"/>
      <w:divBdr>
        <w:top w:val="none" w:sz="0" w:space="0" w:color="auto"/>
        <w:left w:val="none" w:sz="0" w:space="0" w:color="auto"/>
        <w:bottom w:val="none" w:sz="0" w:space="0" w:color="auto"/>
        <w:right w:val="none" w:sz="0" w:space="0" w:color="auto"/>
      </w:divBdr>
      <w:divsChild>
        <w:div w:id="1536770574">
          <w:marLeft w:val="0"/>
          <w:marRight w:val="0"/>
          <w:marTop w:val="0"/>
          <w:marBottom w:val="0"/>
          <w:divBdr>
            <w:top w:val="none" w:sz="0" w:space="0" w:color="auto"/>
            <w:left w:val="none" w:sz="0" w:space="0" w:color="auto"/>
            <w:bottom w:val="none" w:sz="0" w:space="0" w:color="auto"/>
            <w:right w:val="none" w:sz="0" w:space="0" w:color="auto"/>
          </w:divBdr>
        </w:div>
      </w:divsChild>
    </w:div>
    <w:div w:id="558977161">
      <w:bodyDiv w:val="1"/>
      <w:marLeft w:val="0"/>
      <w:marRight w:val="0"/>
      <w:marTop w:val="0"/>
      <w:marBottom w:val="0"/>
      <w:divBdr>
        <w:top w:val="none" w:sz="0" w:space="0" w:color="auto"/>
        <w:left w:val="none" w:sz="0" w:space="0" w:color="auto"/>
        <w:bottom w:val="none" w:sz="0" w:space="0" w:color="auto"/>
        <w:right w:val="none" w:sz="0" w:space="0" w:color="auto"/>
      </w:divBdr>
      <w:divsChild>
        <w:div w:id="637613567">
          <w:marLeft w:val="0"/>
          <w:marRight w:val="0"/>
          <w:marTop w:val="0"/>
          <w:marBottom w:val="0"/>
          <w:divBdr>
            <w:top w:val="none" w:sz="0" w:space="0" w:color="auto"/>
            <w:left w:val="none" w:sz="0" w:space="0" w:color="auto"/>
            <w:bottom w:val="none" w:sz="0" w:space="0" w:color="auto"/>
            <w:right w:val="none" w:sz="0" w:space="0" w:color="auto"/>
          </w:divBdr>
        </w:div>
      </w:divsChild>
    </w:div>
    <w:div w:id="592905785">
      <w:bodyDiv w:val="1"/>
      <w:marLeft w:val="0"/>
      <w:marRight w:val="0"/>
      <w:marTop w:val="0"/>
      <w:marBottom w:val="0"/>
      <w:divBdr>
        <w:top w:val="none" w:sz="0" w:space="0" w:color="auto"/>
        <w:left w:val="none" w:sz="0" w:space="0" w:color="auto"/>
        <w:bottom w:val="none" w:sz="0" w:space="0" w:color="auto"/>
        <w:right w:val="none" w:sz="0" w:space="0" w:color="auto"/>
      </w:divBdr>
      <w:divsChild>
        <w:div w:id="123546304">
          <w:marLeft w:val="0"/>
          <w:marRight w:val="0"/>
          <w:marTop w:val="0"/>
          <w:marBottom w:val="0"/>
          <w:divBdr>
            <w:top w:val="none" w:sz="0" w:space="0" w:color="auto"/>
            <w:left w:val="none" w:sz="0" w:space="0" w:color="auto"/>
            <w:bottom w:val="none" w:sz="0" w:space="0" w:color="auto"/>
            <w:right w:val="none" w:sz="0" w:space="0" w:color="auto"/>
          </w:divBdr>
        </w:div>
      </w:divsChild>
    </w:div>
    <w:div w:id="593629714">
      <w:bodyDiv w:val="1"/>
      <w:marLeft w:val="0"/>
      <w:marRight w:val="0"/>
      <w:marTop w:val="0"/>
      <w:marBottom w:val="0"/>
      <w:divBdr>
        <w:top w:val="none" w:sz="0" w:space="0" w:color="auto"/>
        <w:left w:val="none" w:sz="0" w:space="0" w:color="auto"/>
        <w:bottom w:val="none" w:sz="0" w:space="0" w:color="auto"/>
        <w:right w:val="none" w:sz="0" w:space="0" w:color="auto"/>
      </w:divBdr>
      <w:divsChild>
        <w:div w:id="1242641703">
          <w:marLeft w:val="0"/>
          <w:marRight w:val="0"/>
          <w:marTop w:val="0"/>
          <w:marBottom w:val="0"/>
          <w:divBdr>
            <w:top w:val="none" w:sz="0" w:space="0" w:color="auto"/>
            <w:left w:val="none" w:sz="0" w:space="0" w:color="auto"/>
            <w:bottom w:val="none" w:sz="0" w:space="0" w:color="auto"/>
            <w:right w:val="none" w:sz="0" w:space="0" w:color="auto"/>
          </w:divBdr>
        </w:div>
      </w:divsChild>
    </w:div>
    <w:div w:id="594434994">
      <w:bodyDiv w:val="1"/>
      <w:marLeft w:val="0"/>
      <w:marRight w:val="0"/>
      <w:marTop w:val="0"/>
      <w:marBottom w:val="0"/>
      <w:divBdr>
        <w:top w:val="none" w:sz="0" w:space="0" w:color="auto"/>
        <w:left w:val="none" w:sz="0" w:space="0" w:color="auto"/>
        <w:bottom w:val="none" w:sz="0" w:space="0" w:color="auto"/>
        <w:right w:val="none" w:sz="0" w:space="0" w:color="auto"/>
      </w:divBdr>
      <w:divsChild>
        <w:div w:id="231893357">
          <w:marLeft w:val="0"/>
          <w:marRight w:val="0"/>
          <w:marTop w:val="0"/>
          <w:marBottom w:val="0"/>
          <w:divBdr>
            <w:top w:val="none" w:sz="0" w:space="0" w:color="auto"/>
            <w:left w:val="none" w:sz="0" w:space="0" w:color="auto"/>
            <w:bottom w:val="none" w:sz="0" w:space="0" w:color="auto"/>
            <w:right w:val="none" w:sz="0" w:space="0" w:color="auto"/>
          </w:divBdr>
        </w:div>
      </w:divsChild>
    </w:div>
    <w:div w:id="612981700">
      <w:bodyDiv w:val="1"/>
      <w:marLeft w:val="0"/>
      <w:marRight w:val="0"/>
      <w:marTop w:val="0"/>
      <w:marBottom w:val="0"/>
      <w:divBdr>
        <w:top w:val="none" w:sz="0" w:space="0" w:color="auto"/>
        <w:left w:val="none" w:sz="0" w:space="0" w:color="auto"/>
        <w:bottom w:val="none" w:sz="0" w:space="0" w:color="auto"/>
        <w:right w:val="none" w:sz="0" w:space="0" w:color="auto"/>
      </w:divBdr>
      <w:divsChild>
        <w:div w:id="1377776694">
          <w:marLeft w:val="0"/>
          <w:marRight w:val="0"/>
          <w:marTop w:val="0"/>
          <w:marBottom w:val="0"/>
          <w:divBdr>
            <w:top w:val="none" w:sz="0" w:space="0" w:color="auto"/>
            <w:left w:val="none" w:sz="0" w:space="0" w:color="auto"/>
            <w:bottom w:val="none" w:sz="0" w:space="0" w:color="auto"/>
            <w:right w:val="none" w:sz="0" w:space="0" w:color="auto"/>
          </w:divBdr>
        </w:div>
      </w:divsChild>
    </w:div>
    <w:div w:id="678236461">
      <w:bodyDiv w:val="1"/>
      <w:marLeft w:val="0"/>
      <w:marRight w:val="0"/>
      <w:marTop w:val="0"/>
      <w:marBottom w:val="0"/>
      <w:divBdr>
        <w:top w:val="none" w:sz="0" w:space="0" w:color="auto"/>
        <w:left w:val="none" w:sz="0" w:space="0" w:color="auto"/>
        <w:bottom w:val="none" w:sz="0" w:space="0" w:color="auto"/>
        <w:right w:val="none" w:sz="0" w:space="0" w:color="auto"/>
      </w:divBdr>
      <w:divsChild>
        <w:div w:id="560140310">
          <w:marLeft w:val="0"/>
          <w:marRight w:val="0"/>
          <w:marTop w:val="0"/>
          <w:marBottom w:val="0"/>
          <w:divBdr>
            <w:top w:val="none" w:sz="0" w:space="0" w:color="auto"/>
            <w:left w:val="none" w:sz="0" w:space="0" w:color="auto"/>
            <w:bottom w:val="none" w:sz="0" w:space="0" w:color="auto"/>
            <w:right w:val="none" w:sz="0" w:space="0" w:color="auto"/>
          </w:divBdr>
        </w:div>
      </w:divsChild>
    </w:div>
    <w:div w:id="709037347">
      <w:bodyDiv w:val="1"/>
      <w:marLeft w:val="0"/>
      <w:marRight w:val="0"/>
      <w:marTop w:val="0"/>
      <w:marBottom w:val="0"/>
      <w:divBdr>
        <w:top w:val="none" w:sz="0" w:space="0" w:color="auto"/>
        <w:left w:val="none" w:sz="0" w:space="0" w:color="auto"/>
        <w:bottom w:val="none" w:sz="0" w:space="0" w:color="auto"/>
        <w:right w:val="none" w:sz="0" w:space="0" w:color="auto"/>
      </w:divBdr>
      <w:divsChild>
        <w:div w:id="495538600">
          <w:marLeft w:val="0"/>
          <w:marRight w:val="0"/>
          <w:marTop w:val="0"/>
          <w:marBottom w:val="0"/>
          <w:divBdr>
            <w:top w:val="none" w:sz="0" w:space="0" w:color="auto"/>
            <w:left w:val="none" w:sz="0" w:space="0" w:color="auto"/>
            <w:bottom w:val="none" w:sz="0" w:space="0" w:color="auto"/>
            <w:right w:val="none" w:sz="0" w:space="0" w:color="auto"/>
          </w:divBdr>
        </w:div>
      </w:divsChild>
    </w:div>
    <w:div w:id="712929485">
      <w:bodyDiv w:val="1"/>
      <w:marLeft w:val="0"/>
      <w:marRight w:val="0"/>
      <w:marTop w:val="0"/>
      <w:marBottom w:val="0"/>
      <w:divBdr>
        <w:top w:val="none" w:sz="0" w:space="0" w:color="auto"/>
        <w:left w:val="none" w:sz="0" w:space="0" w:color="auto"/>
        <w:bottom w:val="none" w:sz="0" w:space="0" w:color="auto"/>
        <w:right w:val="none" w:sz="0" w:space="0" w:color="auto"/>
      </w:divBdr>
      <w:divsChild>
        <w:div w:id="1937443325">
          <w:marLeft w:val="0"/>
          <w:marRight w:val="0"/>
          <w:marTop w:val="0"/>
          <w:marBottom w:val="0"/>
          <w:divBdr>
            <w:top w:val="none" w:sz="0" w:space="0" w:color="auto"/>
            <w:left w:val="none" w:sz="0" w:space="0" w:color="auto"/>
            <w:bottom w:val="none" w:sz="0" w:space="0" w:color="auto"/>
            <w:right w:val="none" w:sz="0" w:space="0" w:color="auto"/>
          </w:divBdr>
        </w:div>
      </w:divsChild>
    </w:div>
    <w:div w:id="736898249">
      <w:bodyDiv w:val="1"/>
      <w:marLeft w:val="0"/>
      <w:marRight w:val="0"/>
      <w:marTop w:val="0"/>
      <w:marBottom w:val="0"/>
      <w:divBdr>
        <w:top w:val="none" w:sz="0" w:space="0" w:color="auto"/>
        <w:left w:val="none" w:sz="0" w:space="0" w:color="auto"/>
        <w:bottom w:val="none" w:sz="0" w:space="0" w:color="auto"/>
        <w:right w:val="none" w:sz="0" w:space="0" w:color="auto"/>
      </w:divBdr>
      <w:divsChild>
        <w:div w:id="1679889277">
          <w:marLeft w:val="0"/>
          <w:marRight w:val="0"/>
          <w:marTop w:val="0"/>
          <w:marBottom w:val="0"/>
          <w:divBdr>
            <w:top w:val="none" w:sz="0" w:space="0" w:color="auto"/>
            <w:left w:val="none" w:sz="0" w:space="0" w:color="auto"/>
            <w:bottom w:val="none" w:sz="0" w:space="0" w:color="auto"/>
            <w:right w:val="none" w:sz="0" w:space="0" w:color="auto"/>
          </w:divBdr>
        </w:div>
      </w:divsChild>
    </w:div>
    <w:div w:id="739524283">
      <w:bodyDiv w:val="1"/>
      <w:marLeft w:val="0"/>
      <w:marRight w:val="0"/>
      <w:marTop w:val="0"/>
      <w:marBottom w:val="0"/>
      <w:divBdr>
        <w:top w:val="none" w:sz="0" w:space="0" w:color="auto"/>
        <w:left w:val="none" w:sz="0" w:space="0" w:color="auto"/>
        <w:bottom w:val="none" w:sz="0" w:space="0" w:color="auto"/>
        <w:right w:val="none" w:sz="0" w:space="0" w:color="auto"/>
      </w:divBdr>
      <w:divsChild>
        <w:div w:id="1692956001">
          <w:marLeft w:val="0"/>
          <w:marRight w:val="0"/>
          <w:marTop w:val="0"/>
          <w:marBottom w:val="0"/>
          <w:divBdr>
            <w:top w:val="none" w:sz="0" w:space="0" w:color="auto"/>
            <w:left w:val="none" w:sz="0" w:space="0" w:color="auto"/>
            <w:bottom w:val="none" w:sz="0" w:space="0" w:color="auto"/>
            <w:right w:val="none" w:sz="0" w:space="0" w:color="auto"/>
          </w:divBdr>
        </w:div>
      </w:divsChild>
    </w:div>
    <w:div w:id="744111183">
      <w:bodyDiv w:val="1"/>
      <w:marLeft w:val="0"/>
      <w:marRight w:val="0"/>
      <w:marTop w:val="0"/>
      <w:marBottom w:val="0"/>
      <w:divBdr>
        <w:top w:val="none" w:sz="0" w:space="0" w:color="auto"/>
        <w:left w:val="none" w:sz="0" w:space="0" w:color="auto"/>
        <w:bottom w:val="none" w:sz="0" w:space="0" w:color="auto"/>
        <w:right w:val="none" w:sz="0" w:space="0" w:color="auto"/>
      </w:divBdr>
      <w:divsChild>
        <w:div w:id="1816724184">
          <w:marLeft w:val="0"/>
          <w:marRight w:val="0"/>
          <w:marTop w:val="0"/>
          <w:marBottom w:val="0"/>
          <w:divBdr>
            <w:top w:val="none" w:sz="0" w:space="0" w:color="auto"/>
            <w:left w:val="none" w:sz="0" w:space="0" w:color="auto"/>
            <w:bottom w:val="none" w:sz="0" w:space="0" w:color="auto"/>
            <w:right w:val="none" w:sz="0" w:space="0" w:color="auto"/>
          </w:divBdr>
        </w:div>
      </w:divsChild>
    </w:div>
    <w:div w:id="758252391">
      <w:bodyDiv w:val="1"/>
      <w:marLeft w:val="0"/>
      <w:marRight w:val="0"/>
      <w:marTop w:val="0"/>
      <w:marBottom w:val="0"/>
      <w:divBdr>
        <w:top w:val="none" w:sz="0" w:space="0" w:color="auto"/>
        <w:left w:val="none" w:sz="0" w:space="0" w:color="auto"/>
        <w:bottom w:val="none" w:sz="0" w:space="0" w:color="auto"/>
        <w:right w:val="none" w:sz="0" w:space="0" w:color="auto"/>
      </w:divBdr>
      <w:divsChild>
        <w:div w:id="121844697">
          <w:marLeft w:val="0"/>
          <w:marRight w:val="0"/>
          <w:marTop w:val="0"/>
          <w:marBottom w:val="0"/>
          <w:divBdr>
            <w:top w:val="none" w:sz="0" w:space="0" w:color="auto"/>
            <w:left w:val="none" w:sz="0" w:space="0" w:color="auto"/>
            <w:bottom w:val="none" w:sz="0" w:space="0" w:color="auto"/>
            <w:right w:val="none" w:sz="0" w:space="0" w:color="auto"/>
          </w:divBdr>
        </w:div>
      </w:divsChild>
    </w:div>
    <w:div w:id="796486648">
      <w:bodyDiv w:val="1"/>
      <w:marLeft w:val="0"/>
      <w:marRight w:val="0"/>
      <w:marTop w:val="0"/>
      <w:marBottom w:val="0"/>
      <w:divBdr>
        <w:top w:val="none" w:sz="0" w:space="0" w:color="auto"/>
        <w:left w:val="none" w:sz="0" w:space="0" w:color="auto"/>
        <w:bottom w:val="none" w:sz="0" w:space="0" w:color="auto"/>
        <w:right w:val="none" w:sz="0" w:space="0" w:color="auto"/>
      </w:divBdr>
      <w:divsChild>
        <w:div w:id="1710717191">
          <w:marLeft w:val="0"/>
          <w:marRight w:val="0"/>
          <w:marTop w:val="0"/>
          <w:marBottom w:val="0"/>
          <w:divBdr>
            <w:top w:val="none" w:sz="0" w:space="0" w:color="auto"/>
            <w:left w:val="none" w:sz="0" w:space="0" w:color="auto"/>
            <w:bottom w:val="none" w:sz="0" w:space="0" w:color="auto"/>
            <w:right w:val="none" w:sz="0" w:space="0" w:color="auto"/>
          </w:divBdr>
        </w:div>
      </w:divsChild>
    </w:div>
    <w:div w:id="805898130">
      <w:bodyDiv w:val="1"/>
      <w:marLeft w:val="0"/>
      <w:marRight w:val="0"/>
      <w:marTop w:val="0"/>
      <w:marBottom w:val="0"/>
      <w:divBdr>
        <w:top w:val="none" w:sz="0" w:space="0" w:color="auto"/>
        <w:left w:val="none" w:sz="0" w:space="0" w:color="auto"/>
        <w:bottom w:val="none" w:sz="0" w:space="0" w:color="auto"/>
        <w:right w:val="none" w:sz="0" w:space="0" w:color="auto"/>
      </w:divBdr>
      <w:divsChild>
        <w:div w:id="2050836523">
          <w:marLeft w:val="0"/>
          <w:marRight w:val="0"/>
          <w:marTop w:val="0"/>
          <w:marBottom w:val="0"/>
          <w:divBdr>
            <w:top w:val="none" w:sz="0" w:space="0" w:color="auto"/>
            <w:left w:val="none" w:sz="0" w:space="0" w:color="auto"/>
            <w:bottom w:val="none" w:sz="0" w:space="0" w:color="auto"/>
            <w:right w:val="none" w:sz="0" w:space="0" w:color="auto"/>
          </w:divBdr>
        </w:div>
      </w:divsChild>
    </w:div>
    <w:div w:id="849370319">
      <w:bodyDiv w:val="1"/>
      <w:marLeft w:val="0"/>
      <w:marRight w:val="0"/>
      <w:marTop w:val="0"/>
      <w:marBottom w:val="0"/>
      <w:divBdr>
        <w:top w:val="none" w:sz="0" w:space="0" w:color="auto"/>
        <w:left w:val="none" w:sz="0" w:space="0" w:color="auto"/>
        <w:bottom w:val="none" w:sz="0" w:space="0" w:color="auto"/>
        <w:right w:val="none" w:sz="0" w:space="0" w:color="auto"/>
      </w:divBdr>
      <w:divsChild>
        <w:div w:id="204955293">
          <w:marLeft w:val="0"/>
          <w:marRight w:val="0"/>
          <w:marTop w:val="0"/>
          <w:marBottom w:val="0"/>
          <w:divBdr>
            <w:top w:val="none" w:sz="0" w:space="0" w:color="auto"/>
            <w:left w:val="none" w:sz="0" w:space="0" w:color="auto"/>
            <w:bottom w:val="none" w:sz="0" w:space="0" w:color="auto"/>
            <w:right w:val="none" w:sz="0" w:space="0" w:color="auto"/>
          </w:divBdr>
        </w:div>
        <w:div w:id="1162622647">
          <w:marLeft w:val="0"/>
          <w:marRight w:val="0"/>
          <w:marTop w:val="0"/>
          <w:marBottom w:val="0"/>
          <w:divBdr>
            <w:top w:val="none" w:sz="0" w:space="0" w:color="auto"/>
            <w:left w:val="none" w:sz="0" w:space="0" w:color="auto"/>
            <w:bottom w:val="none" w:sz="0" w:space="0" w:color="auto"/>
            <w:right w:val="none" w:sz="0" w:space="0" w:color="auto"/>
          </w:divBdr>
        </w:div>
      </w:divsChild>
    </w:div>
    <w:div w:id="861748509">
      <w:bodyDiv w:val="1"/>
      <w:marLeft w:val="0"/>
      <w:marRight w:val="0"/>
      <w:marTop w:val="0"/>
      <w:marBottom w:val="0"/>
      <w:divBdr>
        <w:top w:val="none" w:sz="0" w:space="0" w:color="auto"/>
        <w:left w:val="none" w:sz="0" w:space="0" w:color="auto"/>
        <w:bottom w:val="none" w:sz="0" w:space="0" w:color="auto"/>
        <w:right w:val="none" w:sz="0" w:space="0" w:color="auto"/>
      </w:divBdr>
      <w:divsChild>
        <w:div w:id="1295060851">
          <w:marLeft w:val="0"/>
          <w:marRight w:val="0"/>
          <w:marTop w:val="0"/>
          <w:marBottom w:val="0"/>
          <w:divBdr>
            <w:top w:val="none" w:sz="0" w:space="0" w:color="auto"/>
            <w:left w:val="none" w:sz="0" w:space="0" w:color="auto"/>
            <w:bottom w:val="none" w:sz="0" w:space="0" w:color="auto"/>
            <w:right w:val="none" w:sz="0" w:space="0" w:color="auto"/>
          </w:divBdr>
        </w:div>
      </w:divsChild>
    </w:div>
    <w:div w:id="879980472">
      <w:bodyDiv w:val="1"/>
      <w:marLeft w:val="0"/>
      <w:marRight w:val="0"/>
      <w:marTop w:val="0"/>
      <w:marBottom w:val="0"/>
      <w:divBdr>
        <w:top w:val="none" w:sz="0" w:space="0" w:color="auto"/>
        <w:left w:val="none" w:sz="0" w:space="0" w:color="auto"/>
        <w:bottom w:val="none" w:sz="0" w:space="0" w:color="auto"/>
        <w:right w:val="none" w:sz="0" w:space="0" w:color="auto"/>
      </w:divBdr>
      <w:divsChild>
        <w:div w:id="1134056462">
          <w:marLeft w:val="0"/>
          <w:marRight w:val="0"/>
          <w:marTop w:val="0"/>
          <w:marBottom w:val="0"/>
          <w:divBdr>
            <w:top w:val="none" w:sz="0" w:space="0" w:color="auto"/>
            <w:left w:val="none" w:sz="0" w:space="0" w:color="auto"/>
            <w:bottom w:val="none" w:sz="0" w:space="0" w:color="auto"/>
            <w:right w:val="none" w:sz="0" w:space="0" w:color="auto"/>
          </w:divBdr>
        </w:div>
      </w:divsChild>
    </w:div>
    <w:div w:id="884870925">
      <w:bodyDiv w:val="1"/>
      <w:marLeft w:val="0"/>
      <w:marRight w:val="0"/>
      <w:marTop w:val="0"/>
      <w:marBottom w:val="0"/>
      <w:divBdr>
        <w:top w:val="none" w:sz="0" w:space="0" w:color="auto"/>
        <w:left w:val="none" w:sz="0" w:space="0" w:color="auto"/>
        <w:bottom w:val="none" w:sz="0" w:space="0" w:color="auto"/>
        <w:right w:val="none" w:sz="0" w:space="0" w:color="auto"/>
      </w:divBdr>
      <w:divsChild>
        <w:div w:id="1021051001">
          <w:marLeft w:val="0"/>
          <w:marRight w:val="0"/>
          <w:marTop w:val="0"/>
          <w:marBottom w:val="0"/>
          <w:divBdr>
            <w:top w:val="none" w:sz="0" w:space="0" w:color="auto"/>
            <w:left w:val="none" w:sz="0" w:space="0" w:color="auto"/>
            <w:bottom w:val="none" w:sz="0" w:space="0" w:color="auto"/>
            <w:right w:val="none" w:sz="0" w:space="0" w:color="auto"/>
          </w:divBdr>
        </w:div>
      </w:divsChild>
    </w:div>
    <w:div w:id="917205289">
      <w:bodyDiv w:val="1"/>
      <w:marLeft w:val="0"/>
      <w:marRight w:val="0"/>
      <w:marTop w:val="0"/>
      <w:marBottom w:val="0"/>
      <w:divBdr>
        <w:top w:val="none" w:sz="0" w:space="0" w:color="auto"/>
        <w:left w:val="none" w:sz="0" w:space="0" w:color="auto"/>
        <w:bottom w:val="none" w:sz="0" w:space="0" w:color="auto"/>
        <w:right w:val="none" w:sz="0" w:space="0" w:color="auto"/>
      </w:divBdr>
      <w:divsChild>
        <w:div w:id="904339983">
          <w:marLeft w:val="0"/>
          <w:marRight w:val="0"/>
          <w:marTop w:val="0"/>
          <w:marBottom w:val="0"/>
          <w:divBdr>
            <w:top w:val="none" w:sz="0" w:space="0" w:color="auto"/>
            <w:left w:val="none" w:sz="0" w:space="0" w:color="auto"/>
            <w:bottom w:val="none" w:sz="0" w:space="0" w:color="auto"/>
            <w:right w:val="none" w:sz="0" w:space="0" w:color="auto"/>
          </w:divBdr>
        </w:div>
      </w:divsChild>
    </w:div>
    <w:div w:id="963273660">
      <w:bodyDiv w:val="1"/>
      <w:marLeft w:val="0"/>
      <w:marRight w:val="0"/>
      <w:marTop w:val="0"/>
      <w:marBottom w:val="0"/>
      <w:divBdr>
        <w:top w:val="none" w:sz="0" w:space="0" w:color="auto"/>
        <w:left w:val="none" w:sz="0" w:space="0" w:color="auto"/>
        <w:bottom w:val="none" w:sz="0" w:space="0" w:color="auto"/>
        <w:right w:val="none" w:sz="0" w:space="0" w:color="auto"/>
      </w:divBdr>
      <w:divsChild>
        <w:div w:id="1365709343">
          <w:marLeft w:val="0"/>
          <w:marRight w:val="0"/>
          <w:marTop w:val="0"/>
          <w:marBottom w:val="0"/>
          <w:divBdr>
            <w:top w:val="none" w:sz="0" w:space="0" w:color="auto"/>
            <w:left w:val="none" w:sz="0" w:space="0" w:color="auto"/>
            <w:bottom w:val="none" w:sz="0" w:space="0" w:color="auto"/>
            <w:right w:val="none" w:sz="0" w:space="0" w:color="auto"/>
          </w:divBdr>
        </w:div>
      </w:divsChild>
    </w:div>
    <w:div w:id="1009286256">
      <w:bodyDiv w:val="1"/>
      <w:marLeft w:val="0"/>
      <w:marRight w:val="0"/>
      <w:marTop w:val="0"/>
      <w:marBottom w:val="0"/>
      <w:divBdr>
        <w:top w:val="none" w:sz="0" w:space="0" w:color="auto"/>
        <w:left w:val="none" w:sz="0" w:space="0" w:color="auto"/>
        <w:bottom w:val="none" w:sz="0" w:space="0" w:color="auto"/>
        <w:right w:val="none" w:sz="0" w:space="0" w:color="auto"/>
      </w:divBdr>
      <w:divsChild>
        <w:div w:id="2004430619">
          <w:marLeft w:val="0"/>
          <w:marRight w:val="0"/>
          <w:marTop w:val="0"/>
          <w:marBottom w:val="0"/>
          <w:divBdr>
            <w:top w:val="none" w:sz="0" w:space="0" w:color="auto"/>
            <w:left w:val="none" w:sz="0" w:space="0" w:color="auto"/>
            <w:bottom w:val="none" w:sz="0" w:space="0" w:color="auto"/>
            <w:right w:val="none" w:sz="0" w:space="0" w:color="auto"/>
          </w:divBdr>
        </w:div>
      </w:divsChild>
    </w:div>
    <w:div w:id="1022970729">
      <w:bodyDiv w:val="1"/>
      <w:marLeft w:val="0"/>
      <w:marRight w:val="0"/>
      <w:marTop w:val="0"/>
      <w:marBottom w:val="0"/>
      <w:divBdr>
        <w:top w:val="none" w:sz="0" w:space="0" w:color="auto"/>
        <w:left w:val="none" w:sz="0" w:space="0" w:color="auto"/>
        <w:bottom w:val="none" w:sz="0" w:space="0" w:color="auto"/>
        <w:right w:val="none" w:sz="0" w:space="0" w:color="auto"/>
      </w:divBdr>
      <w:divsChild>
        <w:div w:id="16398415">
          <w:marLeft w:val="0"/>
          <w:marRight w:val="0"/>
          <w:marTop w:val="0"/>
          <w:marBottom w:val="0"/>
          <w:divBdr>
            <w:top w:val="none" w:sz="0" w:space="0" w:color="auto"/>
            <w:left w:val="none" w:sz="0" w:space="0" w:color="auto"/>
            <w:bottom w:val="none" w:sz="0" w:space="0" w:color="auto"/>
            <w:right w:val="none" w:sz="0" w:space="0" w:color="auto"/>
          </w:divBdr>
        </w:div>
      </w:divsChild>
    </w:div>
    <w:div w:id="1026832448">
      <w:bodyDiv w:val="1"/>
      <w:marLeft w:val="0"/>
      <w:marRight w:val="0"/>
      <w:marTop w:val="0"/>
      <w:marBottom w:val="0"/>
      <w:divBdr>
        <w:top w:val="none" w:sz="0" w:space="0" w:color="auto"/>
        <w:left w:val="none" w:sz="0" w:space="0" w:color="auto"/>
        <w:bottom w:val="none" w:sz="0" w:space="0" w:color="auto"/>
        <w:right w:val="none" w:sz="0" w:space="0" w:color="auto"/>
      </w:divBdr>
      <w:divsChild>
        <w:div w:id="1327712615">
          <w:marLeft w:val="0"/>
          <w:marRight w:val="0"/>
          <w:marTop w:val="0"/>
          <w:marBottom w:val="0"/>
          <w:divBdr>
            <w:top w:val="none" w:sz="0" w:space="0" w:color="auto"/>
            <w:left w:val="none" w:sz="0" w:space="0" w:color="auto"/>
            <w:bottom w:val="none" w:sz="0" w:space="0" w:color="auto"/>
            <w:right w:val="none" w:sz="0" w:space="0" w:color="auto"/>
          </w:divBdr>
        </w:div>
        <w:div w:id="421798075">
          <w:marLeft w:val="0"/>
          <w:marRight w:val="0"/>
          <w:marTop w:val="0"/>
          <w:marBottom w:val="0"/>
          <w:divBdr>
            <w:top w:val="none" w:sz="0" w:space="0" w:color="auto"/>
            <w:left w:val="none" w:sz="0" w:space="0" w:color="auto"/>
            <w:bottom w:val="none" w:sz="0" w:space="0" w:color="auto"/>
            <w:right w:val="none" w:sz="0" w:space="0" w:color="auto"/>
          </w:divBdr>
        </w:div>
      </w:divsChild>
    </w:div>
    <w:div w:id="1031372189">
      <w:bodyDiv w:val="1"/>
      <w:marLeft w:val="0"/>
      <w:marRight w:val="0"/>
      <w:marTop w:val="0"/>
      <w:marBottom w:val="0"/>
      <w:divBdr>
        <w:top w:val="none" w:sz="0" w:space="0" w:color="auto"/>
        <w:left w:val="none" w:sz="0" w:space="0" w:color="auto"/>
        <w:bottom w:val="none" w:sz="0" w:space="0" w:color="auto"/>
        <w:right w:val="none" w:sz="0" w:space="0" w:color="auto"/>
      </w:divBdr>
      <w:divsChild>
        <w:div w:id="1627277118">
          <w:marLeft w:val="0"/>
          <w:marRight w:val="0"/>
          <w:marTop w:val="0"/>
          <w:marBottom w:val="0"/>
          <w:divBdr>
            <w:top w:val="none" w:sz="0" w:space="0" w:color="auto"/>
            <w:left w:val="none" w:sz="0" w:space="0" w:color="auto"/>
            <w:bottom w:val="none" w:sz="0" w:space="0" w:color="auto"/>
            <w:right w:val="none" w:sz="0" w:space="0" w:color="auto"/>
          </w:divBdr>
        </w:div>
      </w:divsChild>
    </w:div>
    <w:div w:id="1083264519">
      <w:bodyDiv w:val="1"/>
      <w:marLeft w:val="0"/>
      <w:marRight w:val="0"/>
      <w:marTop w:val="0"/>
      <w:marBottom w:val="0"/>
      <w:divBdr>
        <w:top w:val="none" w:sz="0" w:space="0" w:color="auto"/>
        <w:left w:val="none" w:sz="0" w:space="0" w:color="auto"/>
        <w:bottom w:val="none" w:sz="0" w:space="0" w:color="auto"/>
        <w:right w:val="none" w:sz="0" w:space="0" w:color="auto"/>
      </w:divBdr>
      <w:divsChild>
        <w:div w:id="1488134461">
          <w:marLeft w:val="0"/>
          <w:marRight w:val="0"/>
          <w:marTop w:val="0"/>
          <w:marBottom w:val="0"/>
          <w:divBdr>
            <w:top w:val="none" w:sz="0" w:space="0" w:color="auto"/>
            <w:left w:val="none" w:sz="0" w:space="0" w:color="auto"/>
            <w:bottom w:val="none" w:sz="0" w:space="0" w:color="auto"/>
            <w:right w:val="none" w:sz="0" w:space="0" w:color="auto"/>
          </w:divBdr>
        </w:div>
      </w:divsChild>
    </w:div>
    <w:div w:id="1085299703">
      <w:bodyDiv w:val="1"/>
      <w:marLeft w:val="0"/>
      <w:marRight w:val="0"/>
      <w:marTop w:val="0"/>
      <w:marBottom w:val="0"/>
      <w:divBdr>
        <w:top w:val="none" w:sz="0" w:space="0" w:color="auto"/>
        <w:left w:val="none" w:sz="0" w:space="0" w:color="auto"/>
        <w:bottom w:val="none" w:sz="0" w:space="0" w:color="auto"/>
        <w:right w:val="none" w:sz="0" w:space="0" w:color="auto"/>
      </w:divBdr>
      <w:divsChild>
        <w:div w:id="184562553">
          <w:marLeft w:val="0"/>
          <w:marRight w:val="0"/>
          <w:marTop w:val="0"/>
          <w:marBottom w:val="0"/>
          <w:divBdr>
            <w:top w:val="none" w:sz="0" w:space="0" w:color="auto"/>
            <w:left w:val="none" w:sz="0" w:space="0" w:color="auto"/>
            <w:bottom w:val="none" w:sz="0" w:space="0" w:color="auto"/>
            <w:right w:val="none" w:sz="0" w:space="0" w:color="auto"/>
          </w:divBdr>
        </w:div>
      </w:divsChild>
    </w:div>
    <w:div w:id="1096826064">
      <w:bodyDiv w:val="1"/>
      <w:marLeft w:val="0"/>
      <w:marRight w:val="0"/>
      <w:marTop w:val="0"/>
      <w:marBottom w:val="0"/>
      <w:divBdr>
        <w:top w:val="none" w:sz="0" w:space="0" w:color="auto"/>
        <w:left w:val="none" w:sz="0" w:space="0" w:color="auto"/>
        <w:bottom w:val="none" w:sz="0" w:space="0" w:color="auto"/>
        <w:right w:val="none" w:sz="0" w:space="0" w:color="auto"/>
      </w:divBdr>
      <w:divsChild>
        <w:div w:id="878201045">
          <w:marLeft w:val="0"/>
          <w:marRight w:val="0"/>
          <w:marTop w:val="0"/>
          <w:marBottom w:val="0"/>
          <w:divBdr>
            <w:top w:val="none" w:sz="0" w:space="0" w:color="auto"/>
            <w:left w:val="none" w:sz="0" w:space="0" w:color="auto"/>
            <w:bottom w:val="none" w:sz="0" w:space="0" w:color="auto"/>
            <w:right w:val="none" w:sz="0" w:space="0" w:color="auto"/>
          </w:divBdr>
        </w:div>
      </w:divsChild>
    </w:div>
    <w:div w:id="1099251276">
      <w:bodyDiv w:val="1"/>
      <w:marLeft w:val="0"/>
      <w:marRight w:val="0"/>
      <w:marTop w:val="0"/>
      <w:marBottom w:val="0"/>
      <w:divBdr>
        <w:top w:val="none" w:sz="0" w:space="0" w:color="auto"/>
        <w:left w:val="none" w:sz="0" w:space="0" w:color="auto"/>
        <w:bottom w:val="none" w:sz="0" w:space="0" w:color="auto"/>
        <w:right w:val="none" w:sz="0" w:space="0" w:color="auto"/>
      </w:divBdr>
      <w:divsChild>
        <w:div w:id="85541287">
          <w:marLeft w:val="0"/>
          <w:marRight w:val="0"/>
          <w:marTop w:val="0"/>
          <w:marBottom w:val="0"/>
          <w:divBdr>
            <w:top w:val="none" w:sz="0" w:space="0" w:color="auto"/>
            <w:left w:val="none" w:sz="0" w:space="0" w:color="auto"/>
            <w:bottom w:val="none" w:sz="0" w:space="0" w:color="auto"/>
            <w:right w:val="none" w:sz="0" w:space="0" w:color="auto"/>
          </w:divBdr>
        </w:div>
      </w:divsChild>
    </w:div>
    <w:div w:id="1115830083">
      <w:bodyDiv w:val="1"/>
      <w:marLeft w:val="0"/>
      <w:marRight w:val="0"/>
      <w:marTop w:val="0"/>
      <w:marBottom w:val="0"/>
      <w:divBdr>
        <w:top w:val="none" w:sz="0" w:space="0" w:color="auto"/>
        <w:left w:val="none" w:sz="0" w:space="0" w:color="auto"/>
        <w:bottom w:val="none" w:sz="0" w:space="0" w:color="auto"/>
        <w:right w:val="none" w:sz="0" w:space="0" w:color="auto"/>
      </w:divBdr>
      <w:divsChild>
        <w:div w:id="1217937080">
          <w:marLeft w:val="0"/>
          <w:marRight w:val="0"/>
          <w:marTop w:val="0"/>
          <w:marBottom w:val="0"/>
          <w:divBdr>
            <w:top w:val="none" w:sz="0" w:space="0" w:color="auto"/>
            <w:left w:val="none" w:sz="0" w:space="0" w:color="auto"/>
            <w:bottom w:val="none" w:sz="0" w:space="0" w:color="auto"/>
            <w:right w:val="none" w:sz="0" w:space="0" w:color="auto"/>
          </w:divBdr>
        </w:div>
      </w:divsChild>
    </w:div>
    <w:div w:id="1144927345">
      <w:bodyDiv w:val="1"/>
      <w:marLeft w:val="0"/>
      <w:marRight w:val="0"/>
      <w:marTop w:val="0"/>
      <w:marBottom w:val="0"/>
      <w:divBdr>
        <w:top w:val="none" w:sz="0" w:space="0" w:color="auto"/>
        <w:left w:val="none" w:sz="0" w:space="0" w:color="auto"/>
        <w:bottom w:val="none" w:sz="0" w:space="0" w:color="auto"/>
        <w:right w:val="none" w:sz="0" w:space="0" w:color="auto"/>
      </w:divBdr>
      <w:divsChild>
        <w:div w:id="1542285167">
          <w:marLeft w:val="0"/>
          <w:marRight w:val="0"/>
          <w:marTop w:val="0"/>
          <w:marBottom w:val="0"/>
          <w:divBdr>
            <w:top w:val="none" w:sz="0" w:space="0" w:color="auto"/>
            <w:left w:val="none" w:sz="0" w:space="0" w:color="auto"/>
            <w:bottom w:val="none" w:sz="0" w:space="0" w:color="auto"/>
            <w:right w:val="none" w:sz="0" w:space="0" w:color="auto"/>
          </w:divBdr>
        </w:div>
      </w:divsChild>
    </w:div>
    <w:div w:id="1155678929">
      <w:bodyDiv w:val="1"/>
      <w:marLeft w:val="0"/>
      <w:marRight w:val="0"/>
      <w:marTop w:val="0"/>
      <w:marBottom w:val="0"/>
      <w:divBdr>
        <w:top w:val="none" w:sz="0" w:space="0" w:color="auto"/>
        <w:left w:val="none" w:sz="0" w:space="0" w:color="auto"/>
        <w:bottom w:val="none" w:sz="0" w:space="0" w:color="auto"/>
        <w:right w:val="none" w:sz="0" w:space="0" w:color="auto"/>
      </w:divBdr>
      <w:divsChild>
        <w:div w:id="2131514112">
          <w:marLeft w:val="0"/>
          <w:marRight w:val="0"/>
          <w:marTop w:val="0"/>
          <w:marBottom w:val="0"/>
          <w:divBdr>
            <w:top w:val="none" w:sz="0" w:space="0" w:color="auto"/>
            <w:left w:val="none" w:sz="0" w:space="0" w:color="auto"/>
            <w:bottom w:val="none" w:sz="0" w:space="0" w:color="auto"/>
            <w:right w:val="none" w:sz="0" w:space="0" w:color="auto"/>
          </w:divBdr>
        </w:div>
      </w:divsChild>
    </w:div>
    <w:div w:id="1158762281">
      <w:bodyDiv w:val="1"/>
      <w:marLeft w:val="0"/>
      <w:marRight w:val="0"/>
      <w:marTop w:val="0"/>
      <w:marBottom w:val="0"/>
      <w:divBdr>
        <w:top w:val="none" w:sz="0" w:space="0" w:color="auto"/>
        <w:left w:val="none" w:sz="0" w:space="0" w:color="auto"/>
        <w:bottom w:val="none" w:sz="0" w:space="0" w:color="auto"/>
        <w:right w:val="none" w:sz="0" w:space="0" w:color="auto"/>
      </w:divBdr>
      <w:divsChild>
        <w:div w:id="1924486458">
          <w:marLeft w:val="0"/>
          <w:marRight w:val="0"/>
          <w:marTop w:val="0"/>
          <w:marBottom w:val="0"/>
          <w:divBdr>
            <w:top w:val="none" w:sz="0" w:space="0" w:color="auto"/>
            <w:left w:val="none" w:sz="0" w:space="0" w:color="auto"/>
            <w:bottom w:val="none" w:sz="0" w:space="0" w:color="auto"/>
            <w:right w:val="none" w:sz="0" w:space="0" w:color="auto"/>
          </w:divBdr>
        </w:div>
      </w:divsChild>
    </w:div>
    <w:div w:id="1172646877">
      <w:bodyDiv w:val="1"/>
      <w:marLeft w:val="0"/>
      <w:marRight w:val="0"/>
      <w:marTop w:val="0"/>
      <w:marBottom w:val="0"/>
      <w:divBdr>
        <w:top w:val="none" w:sz="0" w:space="0" w:color="auto"/>
        <w:left w:val="none" w:sz="0" w:space="0" w:color="auto"/>
        <w:bottom w:val="none" w:sz="0" w:space="0" w:color="auto"/>
        <w:right w:val="none" w:sz="0" w:space="0" w:color="auto"/>
      </w:divBdr>
      <w:divsChild>
        <w:div w:id="1175455646">
          <w:marLeft w:val="0"/>
          <w:marRight w:val="0"/>
          <w:marTop w:val="0"/>
          <w:marBottom w:val="0"/>
          <w:divBdr>
            <w:top w:val="none" w:sz="0" w:space="0" w:color="auto"/>
            <w:left w:val="none" w:sz="0" w:space="0" w:color="auto"/>
            <w:bottom w:val="none" w:sz="0" w:space="0" w:color="auto"/>
            <w:right w:val="none" w:sz="0" w:space="0" w:color="auto"/>
          </w:divBdr>
        </w:div>
      </w:divsChild>
    </w:div>
    <w:div w:id="1185552705">
      <w:bodyDiv w:val="1"/>
      <w:marLeft w:val="0"/>
      <w:marRight w:val="0"/>
      <w:marTop w:val="0"/>
      <w:marBottom w:val="0"/>
      <w:divBdr>
        <w:top w:val="none" w:sz="0" w:space="0" w:color="auto"/>
        <w:left w:val="none" w:sz="0" w:space="0" w:color="auto"/>
        <w:bottom w:val="none" w:sz="0" w:space="0" w:color="auto"/>
        <w:right w:val="none" w:sz="0" w:space="0" w:color="auto"/>
      </w:divBdr>
      <w:divsChild>
        <w:div w:id="962660131">
          <w:marLeft w:val="0"/>
          <w:marRight w:val="0"/>
          <w:marTop w:val="0"/>
          <w:marBottom w:val="0"/>
          <w:divBdr>
            <w:top w:val="none" w:sz="0" w:space="0" w:color="auto"/>
            <w:left w:val="none" w:sz="0" w:space="0" w:color="auto"/>
            <w:bottom w:val="none" w:sz="0" w:space="0" w:color="auto"/>
            <w:right w:val="none" w:sz="0" w:space="0" w:color="auto"/>
          </w:divBdr>
        </w:div>
      </w:divsChild>
    </w:div>
    <w:div w:id="1188913104">
      <w:bodyDiv w:val="1"/>
      <w:marLeft w:val="0"/>
      <w:marRight w:val="0"/>
      <w:marTop w:val="0"/>
      <w:marBottom w:val="0"/>
      <w:divBdr>
        <w:top w:val="none" w:sz="0" w:space="0" w:color="auto"/>
        <w:left w:val="none" w:sz="0" w:space="0" w:color="auto"/>
        <w:bottom w:val="none" w:sz="0" w:space="0" w:color="auto"/>
        <w:right w:val="none" w:sz="0" w:space="0" w:color="auto"/>
      </w:divBdr>
      <w:divsChild>
        <w:div w:id="2124228626">
          <w:marLeft w:val="0"/>
          <w:marRight w:val="0"/>
          <w:marTop w:val="0"/>
          <w:marBottom w:val="0"/>
          <w:divBdr>
            <w:top w:val="none" w:sz="0" w:space="0" w:color="auto"/>
            <w:left w:val="none" w:sz="0" w:space="0" w:color="auto"/>
            <w:bottom w:val="none" w:sz="0" w:space="0" w:color="auto"/>
            <w:right w:val="none" w:sz="0" w:space="0" w:color="auto"/>
          </w:divBdr>
        </w:div>
      </w:divsChild>
    </w:div>
    <w:div w:id="1205093188">
      <w:bodyDiv w:val="1"/>
      <w:marLeft w:val="0"/>
      <w:marRight w:val="0"/>
      <w:marTop w:val="0"/>
      <w:marBottom w:val="0"/>
      <w:divBdr>
        <w:top w:val="none" w:sz="0" w:space="0" w:color="auto"/>
        <w:left w:val="none" w:sz="0" w:space="0" w:color="auto"/>
        <w:bottom w:val="none" w:sz="0" w:space="0" w:color="auto"/>
        <w:right w:val="none" w:sz="0" w:space="0" w:color="auto"/>
      </w:divBdr>
      <w:divsChild>
        <w:div w:id="181824284">
          <w:marLeft w:val="0"/>
          <w:marRight w:val="0"/>
          <w:marTop w:val="0"/>
          <w:marBottom w:val="0"/>
          <w:divBdr>
            <w:top w:val="none" w:sz="0" w:space="0" w:color="auto"/>
            <w:left w:val="none" w:sz="0" w:space="0" w:color="auto"/>
            <w:bottom w:val="none" w:sz="0" w:space="0" w:color="auto"/>
            <w:right w:val="none" w:sz="0" w:space="0" w:color="auto"/>
          </w:divBdr>
        </w:div>
      </w:divsChild>
    </w:div>
    <w:div w:id="1213543432">
      <w:bodyDiv w:val="1"/>
      <w:marLeft w:val="0"/>
      <w:marRight w:val="0"/>
      <w:marTop w:val="0"/>
      <w:marBottom w:val="0"/>
      <w:divBdr>
        <w:top w:val="none" w:sz="0" w:space="0" w:color="auto"/>
        <w:left w:val="none" w:sz="0" w:space="0" w:color="auto"/>
        <w:bottom w:val="none" w:sz="0" w:space="0" w:color="auto"/>
        <w:right w:val="none" w:sz="0" w:space="0" w:color="auto"/>
      </w:divBdr>
      <w:divsChild>
        <w:div w:id="806969216">
          <w:marLeft w:val="0"/>
          <w:marRight w:val="0"/>
          <w:marTop w:val="0"/>
          <w:marBottom w:val="0"/>
          <w:divBdr>
            <w:top w:val="none" w:sz="0" w:space="0" w:color="auto"/>
            <w:left w:val="none" w:sz="0" w:space="0" w:color="auto"/>
            <w:bottom w:val="none" w:sz="0" w:space="0" w:color="auto"/>
            <w:right w:val="none" w:sz="0" w:space="0" w:color="auto"/>
          </w:divBdr>
        </w:div>
      </w:divsChild>
    </w:div>
    <w:div w:id="1251037776">
      <w:bodyDiv w:val="1"/>
      <w:marLeft w:val="0"/>
      <w:marRight w:val="0"/>
      <w:marTop w:val="0"/>
      <w:marBottom w:val="0"/>
      <w:divBdr>
        <w:top w:val="none" w:sz="0" w:space="0" w:color="auto"/>
        <w:left w:val="none" w:sz="0" w:space="0" w:color="auto"/>
        <w:bottom w:val="none" w:sz="0" w:space="0" w:color="auto"/>
        <w:right w:val="none" w:sz="0" w:space="0" w:color="auto"/>
      </w:divBdr>
      <w:divsChild>
        <w:div w:id="1243293464">
          <w:marLeft w:val="0"/>
          <w:marRight w:val="0"/>
          <w:marTop w:val="0"/>
          <w:marBottom w:val="0"/>
          <w:divBdr>
            <w:top w:val="none" w:sz="0" w:space="0" w:color="auto"/>
            <w:left w:val="none" w:sz="0" w:space="0" w:color="auto"/>
            <w:bottom w:val="none" w:sz="0" w:space="0" w:color="auto"/>
            <w:right w:val="none" w:sz="0" w:space="0" w:color="auto"/>
          </w:divBdr>
        </w:div>
      </w:divsChild>
    </w:div>
    <w:div w:id="1264536617">
      <w:bodyDiv w:val="1"/>
      <w:marLeft w:val="0"/>
      <w:marRight w:val="0"/>
      <w:marTop w:val="0"/>
      <w:marBottom w:val="0"/>
      <w:divBdr>
        <w:top w:val="none" w:sz="0" w:space="0" w:color="auto"/>
        <w:left w:val="none" w:sz="0" w:space="0" w:color="auto"/>
        <w:bottom w:val="none" w:sz="0" w:space="0" w:color="auto"/>
        <w:right w:val="none" w:sz="0" w:space="0" w:color="auto"/>
      </w:divBdr>
      <w:divsChild>
        <w:div w:id="757751620">
          <w:marLeft w:val="0"/>
          <w:marRight w:val="0"/>
          <w:marTop w:val="0"/>
          <w:marBottom w:val="0"/>
          <w:divBdr>
            <w:top w:val="none" w:sz="0" w:space="0" w:color="auto"/>
            <w:left w:val="none" w:sz="0" w:space="0" w:color="auto"/>
            <w:bottom w:val="none" w:sz="0" w:space="0" w:color="auto"/>
            <w:right w:val="none" w:sz="0" w:space="0" w:color="auto"/>
          </w:divBdr>
        </w:div>
      </w:divsChild>
    </w:div>
    <w:div w:id="1266882296">
      <w:bodyDiv w:val="1"/>
      <w:marLeft w:val="0"/>
      <w:marRight w:val="0"/>
      <w:marTop w:val="0"/>
      <w:marBottom w:val="0"/>
      <w:divBdr>
        <w:top w:val="none" w:sz="0" w:space="0" w:color="auto"/>
        <w:left w:val="none" w:sz="0" w:space="0" w:color="auto"/>
        <w:bottom w:val="none" w:sz="0" w:space="0" w:color="auto"/>
        <w:right w:val="none" w:sz="0" w:space="0" w:color="auto"/>
      </w:divBdr>
      <w:divsChild>
        <w:div w:id="2080863092">
          <w:marLeft w:val="0"/>
          <w:marRight w:val="0"/>
          <w:marTop w:val="0"/>
          <w:marBottom w:val="0"/>
          <w:divBdr>
            <w:top w:val="none" w:sz="0" w:space="0" w:color="auto"/>
            <w:left w:val="none" w:sz="0" w:space="0" w:color="auto"/>
            <w:bottom w:val="none" w:sz="0" w:space="0" w:color="auto"/>
            <w:right w:val="none" w:sz="0" w:space="0" w:color="auto"/>
          </w:divBdr>
        </w:div>
      </w:divsChild>
    </w:div>
    <w:div w:id="1302926831">
      <w:bodyDiv w:val="1"/>
      <w:marLeft w:val="0"/>
      <w:marRight w:val="0"/>
      <w:marTop w:val="0"/>
      <w:marBottom w:val="0"/>
      <w:divBdr>
        <w:top w:val="none" w:sz="0" w:space="0" w:color="auto"/>
        <w:left w:val="none" w:sz="0" w:space="0" w:color="auto"/>
        <w:bottom w:val="none" w:sz="0" w:space="0" w:color="auto"/>
        <w:right w:val="none" w:sz="0" w:space="0" w:color="auto"/>
      </w:divBdr>
      <w:divsChild>
        <w:div w:id="1181776753">
          <w:marLeft w:val="0"/>
          <w:marRight w:val="0"/>
          <w:marTop w:val="0"/>
          <w:marBottom w:val="0"/>
          <w:divBdr>
            <w:top w:val="none" w:sz="0" w:space="0" w:color="auto"/>
            <w:left w:val="none" w:sz="0" w:space="0" w:color="auto"/>
            <w:bottom w:val="none" w:sz="0" w:space="0" w:color="auto"/>
            <w:right w:val="none" w:sz="0" w:space="0" w:color="auto"/>
          </w:divBdr>
        </w:div>
      </w:divsChild>
    </w:div>
    <w:div w:id="1304583769">
      <w:bodyDiv w:val="1"/>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
      </w:divsChild>
    </w:div>
    <w:div w:id="1318148353">
      <w:bodyDiv w:val="1"/>
      <w:marLeft w:val="0"/>
      <w:marRight w:val="0"/>
      <w:marTop w:val="0"/>
      <w:marBottom w:val="0"/>
      <w:divBdr>
        <w:top w:val="none" w:sz="0" w:space="0" w:color="auto"/>
        <w:left w:val="none" w:sz="0" w:space="0" w:color="auto"/>
        <w:bottom w:val="none" w:sz="0" w:space="0" w:color="auto"/>
        <w:right w:val="none" w:sz="0" w:space="0" w:color="auto"/>
      </w:divBdr>
      <w:divsChild>
        <w:div w:id="1267039166">
          <w:marLeft w:val="0"/>
          <w:marRight w:val="0"/>
          <w:marTop w:val="0"/>
          <w:marBottom w:val="0"/>
          <w:divBdr>
            <w:top w:val="none" w:sz="0" w:space="0" w:color="auto"/>
            <w:left w:val="none" w:sz="0" w:space="0" w:color="auto"/>
            <w:bottom w:val="none" w:sz="0" w:space="0" w:color="auto"/>
            <w:right w:val="none" w:sz="0" w:space="0" w:color="auto"/>
          </w:divBdr>
        </w:div>
      </w:divsChild>
    </w:div>
    <w:div w:id="1319000885">
      <w:bodyDiv w:val="1"/>
      <w:marLeft w:val="0"/>
      <w:marRight w:val="0"/>
      <w:marTop w:val="0"/>
      <w:marBottom w:val="0"/>
      <w:divBdr>
        <w:top w:val="none" w:sz="0" w:space="0" w:color="auto"/>
        <w:left w:val="none" w:sz="0" w:space="0" w:color="auto"/>
        <w:bottom w:val="none" w:sz="0" w:space="0" w:color="auto"/>
        <w:right w:val="none" w:sz="0" w:space="0" w:color="auto"/>
      </w:divBdr>
      <w:divsChild>
        <w:div w:id="193428891">
          <w:marLeft w:val="0"/>
          <w:marRight w:val="0"/>
          <w:marTop w:val="0"/>
          <w:marBottom w:val="0"/>
          <w:divBdr>
            <w:top w:val="none" w:sz="0" w:space="0" w:color="auto"/>
            <w:left w:val="none" w:sz="0" w:space="0" w:color="auto"/>
            <w:bottom w:val="none" w:sz="0" w:space="0" w:color="auto"/>
            <w:right w:val="none" w:sz="0" w:space="0" w:color="auto"/>
          </w:divBdr>
        </w:div>
      </w:divsChild>
    </w:div>
    <w:div w:id="1375883883">
      <w:bodyDiv w:val="1"/>
      <w:marLeft w:val="0"/>
      <w:marRight w:val="0"/>
      <w:marTop w:val="0"/>
      <w:marBottom w:val="0"/>
      <w:divBdr>
        <w:top w:val="none" w:sz="0" w:space="0" w:color="auto"/>
        <w:left w:val="none" w:sz="0" w:space="0" w:color="auto"/>
        <w:bottom w:val="none" w:sz="0" w:space="0" w:color="auto"/>
        <w:right w:val="none" w:sz="0" w:space="0" w:color="auto"/>
      </w:divBdr>
      <w:divsChild>
        <w:div w:id="1244679791">
          <w:marLeft w:val="0"/>
          <w:marRight w:val="0"/>
          <w:marTop w:val="0"/>
          <w:marBottom w:val="0"/>
          <w:divBdr>
            <w:top w:val="none" w:sz="0" w:space="0" w:color="auto"/>
            <w:left w:val="none" w:sz="0" w:space="0" w:color="auto"/>
            <w:bottom w:val="none" w:sz="0" w:space="0" w:color="auto"/>
            <w:right w:val="none" w:sz="0" w:space="0" w:color="auto"/>
          </w:divBdr>
        </w:div>
      </w:divsChild>
    </w:div>
    <w:div w:id="1379932166">
      <w:bodyDiv w:val="1"/>
      <w:marLeft w:val="0"/>
      <w:marRight w:val="0"/>
      <w:marTop w:val="0"/>
      <w:marBottom w:val="0"/>
      <w:divBdr>
        <w:top w:val="none" w:sz="0" w:space="0" w:color="auto"/>
        <w:left w:val="none" w:sz="0" w:space="0" w:color="auto"/>
        <w:bottom w:val="none" w:sz="0" w:space="0" w:color="auto"/>
        <w:right w:val="none" w:sz="0" w:space="0" w:color="auto"/>
      </w:divBdr>
      <w:divsChild>
        <w:div w:id="439105582">
          <w:marLeft w:val="0"/>
          <w:marRight w:val="0"/>
          <w:marTop w:val="0"/>
          <w:marBottom w:val="0"/>
          <w:divBdr>
            <w:top w:val="none" w:sz="0" w:space="0" w:color="auto"/>
            <w:left w:val="none" w:sz="0" w:space="0" w:color="auto"/>
            <w:bottom w:val="none" w:sz="0" w:space="0" w:color="auto"/>
            <w:right w:val="none" w:sz="0" w:space="0" w:color="auto"/>
          </w:divBdr>
        </w:div>
      </w:divsChild>
    </w:div>
    <w:div w:id="1446848521">
      <w:bodyDiv w:val="1"/>
      <w:marLeft w:val="0"/>
      <w:marRight w:val="0"/>
      <w:marTop w:val="0"/>
      <w:marBottom w:val="0"/>
      <w:divBdr>
        <w:top w:val="none" w:sz="0" w:space="0" w:color="auto"/>
        <w:left w:val="none" w:sz="0" w:space="0" w:color="auto"/>
        <w:bottom w:val="none" w:sz="0" w:space="0" w:color="auto"/>
        <w:right w:val="none" w:sz="0" w:space="0" w:color="auto"/>
      </w:divBdr>
      <w:divsChild>
        <w:div w:id="298195682">
          <w:marLeft w:val="0"/>
          <w:marRight w:val="0"/>
          <w:marTop w:val="0"/>
          <w:marBottom w:val="0"/>
          <w:divBdr>
            <w:top w:val="none" w:sz="0" w:space="0" w:color="auto"/>
            <w:left w:val="none" w:sz="0" w:space="0" w:color="auto"/>
            <w:bottom w:val="none" w:sz="0" w:space="0" w:color="auto"/>
            <w:right w:val="none" w:sz="0" w:space="0" w:color="auto"/>
          </w:divBdr>
        </w:div>
      </w:divsChild>
    </w:div>
    <w:div w:id="1465345428">
      <w:bodyDiv w:val="1"/>
      <w:marLeft w:val="0"/>
      <w:marRight w:val="0"/>
      <w:marTop w:val="0"/>
      <w:marBottom w:val="0"/>
      <w:divBdr>
        <w:top w:val="none" w:sz="0" w:space="0" w:color="auto"/>
        <w:left w:val="none" w:sz="0" w:space="0" w:color="auto"/>
        <w:bottom w:val="none" w:sz="0" w:space="0" w:color="auto"/>
        <w:right w:val="none" w:sz="0" w:space="0" w:color="auto"/>
      </w:divBdr>
      <w:divsChild>
        <w:div w:id="302541173">
          <w:marLeft w:val="0"/>
          <w:marRight w:val="0"/>
          <w:marTop w:val="0"/>
          <w:marBottom w:val="0"/>
          <w:divBdr>
            <w:top w:val="none" w:sz="0" w:space="0" w:color="auto"/>
            <w:left w:val="none" w:sz="0" w:space="0" w:color="auto"/>
            <w:bottom w:val="none" w:sz="0" w:space="0" w:color="auto"/>
            <w:right w:val="none" w:sz="0" w:space="0" w:color="auto"/>
          </w:divBdr>
        </w:div>
      </w:divsChild>
    </w:div>
    <w:div w:id="1541825316">
      <w:bodyDiv w:val="1"/>
      <w:marLeft w:val="0"/>
      <w:marRight w:val="0"/>
      <w:marTop w:val="0"/>
      <w:marBottom w:val="0"/>
      <w:divBdr>
        <w:top w:val="none" w:sz="0" w:space="0" w:color="auto"/>
        <w:left w:val="none" w:sz="0" w:space="0" w:color="auto"/>
        <w:bottom w:val="none" w:sz="0" w:space="0" w:color="auto"/>
        <w:right w:val="none" w:sz="0" w:space="0" w:color="auto"/>
      </w:divBdr>
      <w:divsChild>
        <w:div w:id="1397972844">
          <w:marLeft w:val="0"/>
          <w:marRight w:val="0"/>
          <w:marTop w:val="0"/>
          <w:marBottom w:val="0"/>
          <w:divBdr>
            <w:top w:val="none" w:sz="0" w:space="0" w:color="auto"/>
            <w:left w:val="none" w:sz="0" w:space="0" w:color="auto"/>
            <w:bottom w:val="none" w:sz="0" w:space="0" w:color="auto"/>
            <w:right w:val="none" w:sz="0" w:space="0" w:color="auto"/>
          </w:divBdr>
        </w:div>
      </w:divsChild>
    </w:div>
    <w:div w:id="1574005037">
      <w:bodyDiv w:val="1"/>
      <w:marLeft w:val="0"/>
      <w:marRight w:val="0"/>
      <w:marTop w:val="0"/>
      <w:marBottom w:val="0"/>
      <w:divBdr>
        <w:top w:val="none" w:sz="0" w:space="0" w:color="auto"/>
        <w:left w:val="none" w:sz="0" w:space="0" w:color="auto"/>
        <w:bottom w:val="none" w:sz="0" w:space="0" w:color="auto"/>
        <w:right w:val="none" w:sz="0" w:space="0" w:color="auto"/>
      </w:divBdr>
      <w:divsChild>
        <w:div w:id="501434719">
          <w:marLeft w:val="0"/>
          <w:marRight w:val="0"/>
          <w:marTop w:val="0"/>
          <w:marBottom w:val="0"/>
          <w:divBdr>
            <w:top w:val="none" w:sz="0" w:space="0" w:color="auto"/>
            <w:left w:val="none" w:sz="0" w:space="0" w:color="auto"/>
            <w:bottom w:val="none" w:sz="0" w:space="0" w:color="auto"/>
            <w:right w:val="none" w:sz="0" w:space="0" w:color="auto"/>
          </w:divBdr>
        </w:div>
      </w:divsChild>
    </w:div>
    <w:div w:id="1664700978">
      <w:bodyDiv w:val="1"/>
      <w:marLeft w:val="0"/>
      <w:marRight w:val="0"/>
      <w:marTop w:val="0"/>
      <w:marBottom w:val="0"/>
      <w:divBdr>
        <w:top w:val="none" w:sz="0" w:space="0" w:color="auto"/>
        <w:left w:val="none" w:sz="0" w:space="0" w:color="auto"/>
        <w:bottom w:val="none" w:sz="0" w:space="0" w:color="auto"/>
        <w:right w:val="none" w:sz="0" w:space="0" w:color="auto"/>
      </w:divBdr>
      <w:divsChild>
        <w:div w:id="616255663">
          <w:marLeft w:val="0"/>
          <w:marRight w:val="0"/>
          <w:marTop w:val="0"/>
          <w:marBottom w:val="0"/>
          <w:divBdr>
            <w:top w:val="none" w:sz="0" w:space="0" w:color="auto"/>
            <w:left w:val="none" w:sz="0" w:space="0" w:color="auto"/>
            <w:bottom w:val="none" w:sz="0" w:space="0" w:color="auto"/>
            <w:right w:val="none" w:sz="0" w:space="0" w:color="auto"/>
          </w:divBdr>
        </w:div>
      </w:divsChild>
    </w:div>
    <w:div w:id="1765372096">
      <w:bodyDiv w:val="1"/>
      <w:marLeft w:val="0"/>
      <w:marRight w:val="0"/>
      <w:marTop w:val="0"/>
      <w:marBottom w:val="0"/>
      <w:divBdr>
        <w:top w:val="none" w:sz="0" w:space="0" w:color="auto"/>
        <w:left w:val="none" w:sz="0" w:space="0" w:color="auto"/>
        <w:bottom w:val="none" w:sz="0" w:space="0" w:color="auto"/>
        <w:right w:val="none" w:sz="0" w:space="0" w:color="auto"/>
      </w:divBdr>
      <w:divsChild>
        <w:div w:id="1853301962">
          <w:marLeft w:val="0"/>
          <w:marRight w:val="0"/>
          <w:marTop w:val="0"/>
          <w:marBottom w:val="0"/>
          <w:divBdr>
            <w:top w:val="none" w:sz="0" w:space="0" w:color="auto"/>
            <w:left w:val="none" w:sz="0" w:space="0" w:color="auto"/>
            <w:bottom w:val="none" w:sz="0" w:space="0" w:color="auto"/>
            <w:right w:val="none" w:sz="0" w:space="0" w:color="auto"/>
          </w:divBdr>
        </w:div>
      </w:divsChild>
    </w:div>
    <w:div w:id="1784613872">
      <w:bodyDiv w:val="1"/>
      <w:marLeft w:val="0"/>
      <w:marRight w:val="0"/>
      <w:marTop w:val="0"/>
      <w:marBottom w:val="0"/>
      <w:divBdr>
        <w:top w:val="none" w:sz="0" w:space="0" w:color="auto"/>
        <w:left w:val="none" w:sz="0" w:space="0" w:color="auto"/>
        <w:bottom w:val="none" w:sz="0" w:space="0" w:color="auto"/>
        <w:right w:val="none" w:sz="0" w:space="0" w:color="auto"/>
      </w:divBdr>
      <w:divsChild>
        <w:div w:id="580335976">
          <w:marLeft w:val="0"/>
          <w:marRight w:val="0"/>
          <w:marTop w:val="0"/>
          <w:marBottom w:val="0"/>
          <w:divBdr>
            <w:top w:val="none" w:sz="0" w:space="0" w:color="auto"/>
            <w:left w:val="none" w:sz="0" w:space="0" w:color="auto"/>
            <w:bottom w:val="none" w:sz="0" w:space="0" w:color="auto"/>
            <w:right w:val="none" w:sz="0" w:space="0" w:color="auto"/>
          </w:divBdr>
        </w:div>
      </w:divsChild>
    </w:div>
    <w:div w:id="1930579350">
      <w:bodyDiv w:val="1"/>
      <w:marLeft w:val="0"/>
      <w:marRight w:val="0"/>
      <w:marTop w:val="0"/>
      <w:marBottom w:val="0"/>
      <w:divBdr>
        <w:top w:val="none" w:sz="0" w:space="0" w:color="auto"/>
        <w:left w:val="none" w:sz="0" w:space="0" w:color="auto"/>
        <w:bottom w:val="none" w:sz="0" w:space="0" w:color="auto"/>
        <w:right w:val="none" w:sz="0" w:space="0" w:color="auto"/>
      </w:divBdr>
      <w:divsChild>
        <w:div w:id="1765028100">
          <w:marLeft w:val="0"/>
          <w:marRight w:val="0"/>
          <w:marTop w:val="0"/>
          <w:marBottom w:val="0"/>
          <w:divBdr>
            <w:top w:val="none" w:sz="0" w:space="0" w:color="auto"/>
            <w:left w:val="none" w:sz="0" w:space="0" w:color="auto"/>
            <w:bottom w:val="none" w:sz="0" w:space="0" w:color="auto"/>
            <w:right w:val="none" w:sz="0" w:space="0" w:color="auto"/>
          </w:divBdr>
        </w:div>
      </w:divsChild>
    </w:div>
    <w:div w:id="1934436386">
      <w:bodyDiv w:val="1"/>
      <w:marLeft w:val="0"/>
      <w:marRight w:val="0"/>
      <w:marTop w:val="0"/>
      <w:marBottom w:val="0"/>
      <w:divBdr>
        <w:top w:val="none" w:sz="0" w:space="0" w:color="auto"/>
        <w:left w:val="none" w:sz="0" w:space="0" w:color="auto"/>
        <w:bottom w:val="none" w:sz="0" w:space="0" w:color="auto"/>
        <w:right w:val="none" w:sz="0" w:space="0" w:color="auto"/>
      </w:divBdr>
      <w:divsChild>
        <w:div w:id="2125730380">
          <w:marLeft w:val="0"/>
          <w:marRight w:val="0"/>
          <w:marTop w:val="0"/>
          <w:marBottom w:val="0"/>
          <w:divBdr>
            <w:top w:val="none" w:sz="0" w:space="0" w:color="auto"/>
            <w:left w:val="none" w:sz="0" w:space="0" w:color="auto"/>
            <w:bottom w:val="none" w:sz="0" w:space="0" w:color="auto"/>
            <w:right w:val="none" w:sz="0" w:space="0" w:color="auto"/>
          </w:divBdr>
        </w:div>
      </w:divsChild>
    </w:div>
    <w:div w:id="1990279050">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7">
          <w:marLeft w:val="0"/>
          <w:marRight w:val="0"/>
          <w:marTop w:val="0"/>
          <w:marBottom w:val="0"/>
          <w:divBdr>
            <w:top w:val="none" w:sz="0" w:space="0" w:color="auto"/>
            <w:left w:val="none" w:sz="0" w:space="0" w:color="auto"/>
            <w:bottom w:val="none" w:sz="0" w:space="0" w:color="auto"/>
            <w:right w:val="none" w:sz="0" w:space="0" w:color="auto"/>
          </w:divBdr>
        </w:div>
      </w:divsChild>
    </w:div>
    <w:div w:id="2047944833">
      <w:bodyDiv w:val="1"/>
      <w:marLeft w:val="0"/>
      <w:marRight w:val="0"/>
      <w:marTop w:val="0"/>
      <w:marBottom w:val="0"/>
      <w:divBdr>
        <w:top w:val="none" w:sz="0" w:space="0" w:color="auto"/>
        <w:left w:val="none" w:sz="0" w:space="0" w:color="auto"/>
        <w:bottom w:val="none" w:sz="0" w:space="0" w:color="auto"/>
        <w:right w:val="none" w:sz="0" w:space="0" w:color="auto"/>
      </w:divBdr>
      <w:divsChild>
        <w:div w:id="32267701">
          <w:marLeft w:val="0"/>
          <w:marRight w:val="0"/>
          <w:marTop w:val="0"/>
          <w:marBottom w:val="0"/>
          <w:divBdr>
            <w:top w:val="none" w:sz="0" w:space="0" w:color="auto"/>
            <w:left w:val="none" w:sz="0" w:space="0" w:color="auto"/>
            <w:bottom w:val="none" w:sz="0" w:space="0" w:color="auto"/>
            <w:right w:val="none" w:sz="0" w:space="0" w:color="auto"/>
          </w:divBdr>
        </w:div>
      </w:divsChild>
    </w:div>
    <w:div w:id="2051150759">
      <w:bodyDiv w:val="1"/>
      <w:marLeft w:val="0"/>
      <w:marRight w:val="0"/>
      <w:marTop w:val="0"/>
      <w:marBottom w:val="0"/>
      <w:divBdr>
        <w:top w:val="none" w:sz="0" w:space="0" w:color="auto"/>
        <w:left w:val="none" w:sz="0" w:space="0" w:color="auto"/>
        <w:bottom w:val="none" w:sz="0" w:space="0" w:color="auto"/>
        <w:right w:val="none" w:sz="0" w:space="0" w:color="auto"/>
      </w:divBdr>
      <w:divsChild>
        <w:div w:id="563953848">
          <w:marLeft w:val="0"/>
          <w:marRight w:val="0"/>
          <w:marTop w:val="0"/>
          <w:marBottom w:val="0"/>
          <w:divBdr>
            <w:top w:val="none" w:sz="0" w:space="0" w:color="auto"/>
            <w:left w:val="none" w:sz="0" w:space="0" w:color="auto"/>
            <w:bottom w:val="none" w:sz="0" w:space="0" w:color="auto"/>
            <w:right w:val="none" w:sz="0" w:space="0" w:color="auto"/>
          </w:divBdr>
        </w:div>
      </w:divsChild>
    </w:div>
    <w:div w:id="2075811762">
      <w:bodyDiv w:val="1"/>
      <w:marLeft w:val="0"/>
      <w:marRight w:val="0"/>
      <w:marTop w:val="0"/>
      <w:marBottom w:val="0"/>
      <w:divBdr>
        <w:top w:val="none" w:sz="0" w:space="0" w:color="auto"/>
        <w:left w:val="none" w:sz="0" w:space="0" w:color="auto"/>
        <w:bottom w:val="none" w:sz="0" w:space="0" w:color="auto"/>
        <w:right w:val="none" w:sz="0" w:space="0" w:color="auto"/>
      </w:divBdr>
      <w:divsChild>
        <w:div w:id="750006112">
          <w:marLeft w:val="0"/>
          <w:marRight w:val="0"/>
          <w:marTop w:val="0"/>
          <w:marBottom w:val="0"/>
          <w:divBdr>
            <w:top w:val="none" w:sz="0" w:space="0" w:color="auto"/>
            <w:left w:val="none" w:sz="0" w:space="0" w:color="auto"/>
            <w:bottom w:val="none" w:sz="0" w:space="0" w:color="auto"/>
            <w:right w:val="none" w:sz="0" w:space="0" w:color="auto"/>
          </w:divBdr>
        </w:div>
      </w:divsChild>
    </w:div>
    <w:div w:id="2077389736">
      <w:bodyDiv w:val="1"/>
      <w:marLeft w:val="0"/>
      <w:marRight w:val="0"/>
      <w:marTop w:val="0"/>
      <w:marBottom w:val="0"/>
      <w:divBdr>
        <w:top w:val="none" w:sz="0" w:space="0" w:color="auto"/>
        <w:left w:val="none" w:sz="0" w:space="0" w:color="auto"/>
        <w:bottom w:val="none" w:sz="0" w:space="0" w:color="auto"/>
        <w:right w:val="none" w:sz="0" w:space="0" w:color="auto"/>
      </w:divBdr>
      <w:divsChild>
        <w:div w:id="1723940615">
          <w:marLeft w:val="0"/>
          <w:marRight w:val="0"/>
          <w:marTop w:val="0"/>
          <w:marBottom w:val="0"/>
          <w:divBdr>
            <w:top w:val="none" w:sz="0" w:space="0" w:color="auto"/>
            <w:left w:val="none" w:sz="0" w:space="0" w:color="auto"/>
            <w:bottom w:val="none" w:sz="0" w:space="0" w:color="auto"/>
            <w:right w:val="none" w:sz="0" w:space="0" w:color="auto"/>
          </w:divBdr>
        </w:div>
      </w:divsChild>
    </w:div>
    <w:div w:id="2091611610">
      <w:bodyDiv w:val="1"/>
      <w:marLeft w:val="0"/>
      <w:marRight w:val="0"/>
      <w:marTop w:val="0"/>
      <w:marBottom w:val="0"/>
      <w:divBdr>
        <w:top w:val="none" w:sz="0" w:space="0" w:color="auto"/>
        <w:left w:val="none" w:sz="0" w:space="0" w:color="auto"/>
        <w:bottom w:val="none" w:sz="0" w:space="0" w:color="auto"/>
        <w:right w:val="none" w:sz="0" w:space="0" w:color="auto"/>
      </w:divBdr>
      <w:divsChild>
        <w:div w:id="1635404895">
          <w:marLeft w:val="0"/>
          <w:marRight w:val="0"/>
          <w:marTop w:val="0"/>
          <w:marBottom w:val="0"/>
          <w:divBdr>
            <w:top w:val="none" w:sz="0" w:space="0" w:color="auto"/>
            <w:left w:val="none" w:sz="0" w:space="0" w:color="auto"/>
            <w:bottom w:val="none" w:sz="0" w:space="0" w:color="auto"/>
            <w:right w:val="none" w:sz="0" w:space="0" w:color="auto"/>
          </w:divBdr>
        </w:div>
      </w:divsChild>
    </w:div>
    <w:div w:id="2094929195">
      <w:bodyDiv w:val="1"/>
      <w:marLeft w:val="0"/>
      <w:marRight w:val="0"/>
      <w:marTop w:val="0"/>
      <w:marBottom w:val="0"/>
      <w:divBdr>
        <w:top w:val="none" w:sz="0" w:space="0" w:color="auto"/>
        <w:left w:val="none" w:sz="0" w:space="0" w:color="auto"/>
        <w:bottom w:val="none" w:sz="0" w:space="0" w:color="auto"/>
        <w:right w:val="none" w:sz="0" w:space="0" w:color="auto"/>
      </w:divBdr>
      <w:divsChild>
        <w:div w:id="2077388344">
          <w:marLeft w:val="0"/>
          <w:marRight w:val="0"/>
          <w:marTop w:val="0"/>
          <w:marBottom w:val="0"/>
          <w:divBdr>
            <w:top w:val="none" w:sz="0" w:space="0" w:color="auto"/>
            <w:left w:val="none" w:sz="0" w:space="0" w:color="auto"/>
            <w:bottom w:val="none" w:sz="0" w:space="0" w:color="auto"/>
            <w:right w:val="none" w:sz="0" w:space="0" w:color="auto"/>
          </w:divBdr>
        </w:div>
        <w:div w:id="1996444564">
          <w:marLeft w:val="0"/>
          <w:marRight w:val="0"/>
          <w:marTop w:val="0"/>
          <w:marBottom w:val="0"/>
          <w:divBdr>
            <w:top w:val="none" w:sz="0" w:space="0" w:color="auto"/>
            <w:left w:val="none" w:sz="0" w:space="0" w:color="auto"/>
            <w:bottom w:val="none" w:sz="0" w:space="0" w:color="auto"/>
            <w:right w:val="none" w:sz="0" w:space="0" w:color="auto"/>
          </w:divBdr>
        </w:div>
      </w:divsChild>
    </w:div>
    <w:div w:id="2116511018">
      <w:bodyDiv w:val="1"/>
      <w:marLeft w:val="0"/>
      <w:marRight w:val="0"/>
      <w:marTop w:val="0"/>
      <w:marBottom w:val="0"/>
      <w:divBdr>
        <w:top w:val="none" w:sz="0" w:space="0" w:color="auto"/>
        <w:left w:val="none" w:sz="0" w:space="0" w:color="auto"/>
        <w:bottom w:val="none" w:sz="0" w:space="0" w:color="auto"/>
        <w:right w:val="none" w:sz="0" w:space="0" w:color="auto"/>
      </w:divBdr>
      <w:divsChild>
        <w:div w:id="2115784316">
          <w:marLeft w:val="0"/>
          <w:marRight w:val="0"/>
          <w:marTop w:val="0"/>
          <w:marBottom w:val="0"/>
          <w:divBdr>
            <w:top w:val="none" w:sz="0" w:space="0" w:color="auto"/>
            <w:left w:val="none" w:sz="0" w:space="0" w:color="auto"/>
            <w:bottom w:val="none" w:sz="0" w:space="0" w:color="auto"/>
            <w:right w:val="none" w:sz="0" w:space="0" w:color="auto"/>
          </w:divBdr>
        </w:div>
      </w:divsChild>
    </w:div>
    <w:div w:id="2125732131">
      <w:bodyDiv w:val="1"/>
      <w:marLeft w:val="0"/>
      <w:marRight w:val="0"/>
      <w:marTop w:val="0"/>
      <w:marBottom w:val="0"/>
      <w:divBdr>
        <w:top w:val="none" w:sz="0" w:space="0" w:color="auto"/>
        <w:left w:val="none" w:sz="0" w:space="0" w:color="auto"/>
        <w:bottom w:val="none" w:sz="0" w:space="0" w:color="auto"/>
        <w:right w:val="none" w:sz="0" w:space="0" w:color="auto"/>
      </w:divBdr>
      <w:divsChild>
        <w:div w:id="118451064">
          <w:marLeft w:val="0"/>
          <w:marRight w:val="0"/>
          <w:marTop w:val="0"/>
          <w:marBottom w:val="0"/>
          <w:divBdr>
            <w:top w:val="none" w:sz="0" w:space="0" w:color="auto"/>
            <w:left w:val="none" w:sz="0" w:space="0" w:color="auto"/>
            <w:bottom w:val="none" w:sz="0" w:space="0" w:color="auto"/>
            <w:right w:val="none" w:sz="0" w:space="0" w:color="auto"/>
          </w:divBdr>
        </w:div>
      </w:divsChild>
    </w:div>
    <w:div w:id="2144038077">
      <w:bodyDiv w:val="1"/>
      <w:marLeft w:val="0"/>
      <w:marRight w:val="0"/>
      <w:marTop w:val="0"/>
      <w:marBottom w:val="0"/>
      <w:divBdr>
        <w:top w:val="none" w:sz="0" w:space="0" w:color="auto"/>
        <w:left w:val="none" w:sz="0" w:space="0" w:color="auto"/>
        <w:bottom w:val="none" w:sz="0" w:space="0" w:color="auto"/>
        <w:right w:val="none" w:sz="0" w:space="0" w:color="auto"/>
      </w:divBdr>
      <w:divsChild>
        <w:div w:id="176090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745-3992.2002.tb00095.x" TargetMode="External"/><Relationship Id="rId13" Type="http://schemas.openxmlformats.org/officeDocument/2006/relationships/hyperlink" Target="https://dx.doi.org/10.1353/tfr.2022.0211" TargetMode="External"/><Relationship Id="rId18" Type="http://schemas.openxmlformats.org/officeDocument/2006/relationships/hyperlink" Target="https://doi.org/10.1111/flan.12661"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doi.org/10.1111/j.1944-9720.2006.tb02894.x" TargetMode="External"/><Relationship Id="rId12" Type="http://schemas.openxmlformats.org/officeDocument/2006/relationships/hyperlink" Target="https://doi.org/10.1111/flan.12481" TargetMode="External"/><Relationship Id="rId17" Type="http://schemas.openxmlformats.org/officeDocument/2006/relationships/hyperlink" Target="https://doi.org/10.1111/j.1944-9720.2003.tb02147.x" TargetMode="External"/><Relationship Id="rId2" Type="http://schemas.openxmlformats.org/officeDocument/2006/relationships/settings" Target="settings.xml"/><Relationship Id="rId16" Type="http://schemas.openxmlformats.org/officeDocument/2006/relationships/hyperlink" Target="https://doi.org/10.29140/lea.v2n2.105" TargetMode="External"/><Relationship Id="rId20" Type="http://schemas.openxmlformats.org/officeDocument/2006/relationships/hyperlink" Target="https://doi.org/10.1111/flan.12176" TargetMode="External"/><Relationship Id="rId1" Type="http://schemas.openxmlformats.org/officeDocument/2006/relationships/styles" Target="styles.xml"/><Relationship Id="rId6" Type="http://schemas.openxmlformats.org/officeDocument/2006/relationships/hyperlink" Target="https://doi.org/10.1075/lllt.25.21abr" TargetMode="External"/><Relationship Id="rId11" Type="http://schemas.openxmlformats.org/officeDocument/2006/relationships/hyperlink" Target="https://doi.org/10.1111/j.1944-9720.2011.01153.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x.doi.org/10.1353/hpn.2021.0087" TargetMode="External"/><Relationship Id="rId23" Type="http://schemas.openxmlformats.org/officeDocument/2006/relationships/fontTable" Target="fontTable.xml"/><Relationship Id="rId10" Type="http://schemas.openxmlformats.org/officeDocument/2006/relationships/hyperlink" Target="https://doi.org/10.1177/1362168813482934" TargetMode="External"/><Relationship Id="rId19" Type="http://schemas.openxmlformats.org/officeDocument/2006/relationships/hyperlink" Target="https://doi.org/10.1080/15434303.2013.766744" TargetMode="External"/><Relationship Id="rId4" Type="http://schemas.openxmlformats.org/officeDocument/2006/relationships/footnotes" Target="footnotes.xml"/><Relationship Id="rId9" Type="http://schemas.openxmlformats.org/officeDocument/2006/relationships/hyperlink" Target="https://dx.doi.org/10.1353/hpn.2021.0093" TargetMode="External"/><Relationship Id="rId14" Type="http://schemas.openxmlformats.org/officeDocument/2006/relationships/hyperlink" Target="https://doi.org/10.3138/cmlr.64.1.039"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Nicolas David</dc:creator>
  <cp:lastModifiedBy>Kathi Bailey</cp:lastModifiedBy>
  <cp:revision>19</cp:revision>
  <dcterms:created xsi:type="dcterms:W3CDTF">2025-03-09T15:59:00Z</dcterms:created>
  <dcterms:modified xsi:type="dcterms:W3CDTF">2025-03-09T16:40:00Z</dcterms:modified>
</cp:coreProperties>
</file>